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77CBD" w14:textId="3D00FD22" w:rsidR="008B0E49" w:rsidRPr="008B0E49" w:rsidRDefault="008B0E49" w:rsidP="008B0E49">
      <w:pPr>
        <w:spacing w:line="280" w:lineRule="atLeast"/>
        <w:rPr>
          <w:rFonts w:ascii="Calibri" w:hAnsi="Calibri" w:cs="Times New Roman"/>
          <w:color w:val="000000"/>
          <w:lang w:val="es-ES_tradnl" w:eastAsia="es-ES"/>
        </w:rPr>
      </w:pPr>
      <w:r>
        <w:rPr>
          <w:rFonts w:ascii="Calibri" w:hAnsi="Calibri" w:cs="Times New Roman"/>
          <w:b/>
          <w:bCs/>
          <w:color w:val="000000"/>
          <w:sz w:val="28"/>
          <w:szCs w:val="28"/>
          <w:lang w:val="es-ES_tradnl" w:eastAsia="es-ES"/>
        </w:rPr>
        <w:t>¿Qué papel juega y debería j</w:t>
      </w:r>
      <w:r w:rsidRPr="008B0E49">
        <w:rPr>
          <w:rFonts w:ascii="Calibri" w:hAnsi="Calibri" w:cs="Times New Roman"/>
          <w:b/>
          <w:bCs/>
          <w:color w:val="000000"/>
          <w:sz w:val="28"/>
          <w:szCs w:val="28"/>
          <w:lang w:val="es-ES_tradnl" w:eastAsia="es-ES"/>
        </w:rPr>
        <w:t xml:space="preserve">ugar la valorización energética de residuos en la jerarquía de gestión de los </w:t>
      </w:r>
      <w:proofErr w:type="spellStart"/>
      <w:r w:rsidRPr="008B0E49">
        <w:rPr>
          <w:rFonts w:ascii="Calibri" w:hAnsi="Calibri" w:cs="Times New Roman"/>
          <w:b/>
          <w:bCs/>
          <w:color w:val="000000"/>
          <w:sz w:val="28"/>
          <w:szCs w:val="28"/>
          <w:lang w:val="es-ES_tradnl" w:eastAsia="es-ES"/>
        </w:rPr>
        <w:t>RSU</w:t>
      </w:r>
      <w:proofErr w:type="spellEnd"/>
      <w:r w:rsidRPr="008B0E49">
        <w:rPr>
          <w:rFonts w:ascii="Calibri" w:hAnsi="Calibri" w:cs="Times New Roman"/>
          <w:b/>
          <w:bCs/>
          <w:color w:val="000000"/>
          <w:sz w:val="28"/>
          <w:szCs w:val="28"/>
          <w:lang w:val="es-ES_tradnl" w:eastAsia="es-ES"/>
        </w:rPr>
        <w:t>?</w:t>
      </w:r>
    </w:p>
    <w:p w14:paraId="0C293907"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El pasado 27 de abril de 2017, en la sesión 34 del Pleno del Parlamento de Cataluña, se debatió la Moción 119 / XI sobre la gestión de los residuos, presentada por la diputada Hortensia Grau Juan, del Grupo Parlamentario de Cataluña Sí se puede, y con las enmiendas presentadas por los diferentes grupos parlamentarios (Candidatura de Unidad Popular-Llamada Constituyente, Partido Socialista, Partido Popular, Juntos por Sí y Ciudadanos).</w:t>
      </w:r>
    </w:p>
    <w:p w14:paraId="247D7745"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Como resultado del debate se aprobó un texto que, en su punto 5, determina que el Parlamento de Cataluña insta al Gobierno a priorizar, en el Programa General de Prevención y Gestión de Residuos y Recursos de Cataluña 2.013-2.020, las acciones para alcanzar los objetivos fijados y teniendo en cuenta las especificidades territoriales, tal como queda establecido el siguiente aspecto descrito en el apartado b):</w:t>
      </w:r>
    </w:p>
    <w:p w14:paraId="7C554E9B"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i/>
          <w:iCs/>
          <w:color w:val="000000"/>
          <w:sz w:val="20"/>
          <w:szCs w:val="20"/>
          <w:lang w:val="es-ES_tradnl" w:eastAsia="es-ES"/>
        </w:rPr>
        <w:t>"La apertura de un debate entre el Gobierno, el mundo municipal y expertos sobre el papel y el futuro de la valorización energética y la incineración en Cataluña, con la voluntad de reducir el peso de la incineración como tratamiento finalista, en la línea de los estándares europeos, y establecer un calendario progresivo de eliminación de este tratamiento. "</w:t>
      </w:r>
    </w:p>
    <w:p w14:paraId="6FB58784"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Este texto nos lleva a diferentes reflexiones y realidades:</w:t>
      </w:r>
    </w:p>
    <w:p w14:paraId="221CD2DC" w14:textId="31C7A7F1"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bookmarkStart w:id="0" w:name="graphic03"/>
      <w:bookmarkEnd w:id="0"/>
      <w:r w:rsidRPr="000A5EC0">
        <w:rPr>
          <w:rFonts w:ascii="Arial" w:hAnsi="Arial"/>
          <w:noProof/>
          <w:sz w:val="20"/>
          <w:szCs w:val="20"/>
          <w:lang w:val="es-ES" w:eastAsia="es-ES"/>
        </w:rPr>
        <w:drawing>
          <wp:anchor distT="0" distB="0" distL="114300" distR="114300" simplePos="0" relativeHeight="251659264" behindDoc="1" locked="0" layoutInCell="1" allowOverlap="1" wp14:anchorId="7CFB54D1" wp14:editId="11EED4C8">
            <wp:simplePos x="0" y="0"/>
            <wp:positionH relativeFrom="column">
              <wp:posOffset>0</wp:posOffset>
            </wp:positionH>
            <wp:positionV relativeFrom="paragraph">
              <wp:posOffset>276860</wp:posOffset>
            </wp:positionV>
            <wp:extent cx="1943100" cy="2045970"/>
            <wp:effectExtent l="25400" t="25400" r="38100" b="36830"/>
            <wp:wrapTight wrapText="bothSides">
              <wp:wrapPolygon edited="0">
                <wp:start x="-282" y="-268"/>
                <wp:lineTo x="-282" y="21721"/>
                <wp:lineTo x="21741" y="21721"/>
                <wp:lineTo x="21741" y="-268"/>
                <wp:lineTo x="-282" y="-26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943100" cy="20459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sz w:val="20"/>
          <w:szCs w:val="20"/>
          <w:lang w:val="es-ES" w:eastAsia="es-ES"/>
        </w:rPr>
        <mc:AlternateContent>
          <mc:Choice Requires="wps">
            <w:drawing>
              <wp:inline distT="0" distB="0" distL="0" distR="0" wp14:anchorId="6285A067" wp14:editId="1DCDD889">
                <wp:extent cx="13970" cy="13970"/>
                <wp:effectExtent l="0" t="0" r="0" b="0"/>
                <wp:docPr id="2" name="AutoShape 1" descr="ma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magen 1"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dJ5LgCAADFBQAADgAAAGRycy9lMm9Eb2MueG1srFTbbtswDH0fsH8Q9O76Uudio07RJvEwoNsK&#10;dPsAxZJtYbakSUqcrti/j5KbNGlfhm1+EERROjwkj3l1ve87tGPacCkKHF9EGDFRScpFU+BvX8tg&#10;jpGxRFDSScEK/MgMvl68f3c1qJwlspUdZRoBiDD5oArcWqvyMDRVy3piLqRiApy11D2xYOompJoM&#10;gN53YRJF03CQmiotK2YMnK5GJ154/Lpmlf1S14ZZ1BUYuFm/ar9u3BourkjeaKJaXj3TIH/Boidc&#10;QNAj1IpYgraav4HqeaWlkbW9qGQfyrrmFfM5QDZx9Cqbh5Yo5nOB4hh1LJP5f7DV5929RpwWOMFI&#10;kB5adLO10kdGMUaUmQrK1ZOGCbChXIMyObx6UPfaJWzUnay+GyTksiWiYTdGQdFBCgB3ONJaDi0j&#10;FHh7iPAMwxkG0NBm+CQpECBAwBdzX+vexYAyob3v2eOxZ2xvUQWH8WU2g8ZW4Bm3QDEk+eGp0sZ+&#10;YLJHblNgDdw8NNndGTtePVxxkYQsedd5UXTi7AAwxxMIDE+dz1HwPX7Komw9X8/TIE2m6yCNKA1u&#10;ymUaTMt4NlldrpbLVfzLxY3TvOWUMuHCHPQWp3/Wz2flj0o5Ks7IjlMH5ygZ3WyWnUY7Anov/ed6&#10;BuRProXnNLwbcnmVUpyk0W2SBeV0PgvSOp0EUOh5EMXZbTaN0ixdlecp3XHB/j0lNBQ4myQT36UT&#10;0q9yi/z3NjeS99zCROl4X+D58RLJnf7WgvrWWsK7cX9SCkf/pRRQsUOjvVqdQEftbyR9BLFqCXIC&#10;4cHsg00r9U+MBpgjBTY/tkQzjLqPAgSfxWnqBo830sksAUOfejanHiIqgCqwxWjcLu04rLZK86aF&#10;SLEvjJDuL625l7D7gUZWwN8ZMCt8Js9zzQ2jU9vfepm+i98AAAD//wMAUEsDBBQABgAIAAAAIQCw&#10;mBm51wAAAAEBAAAPAAAAZHJzL2Rvd25yZXYueG1sTI9BS8NAEIXvgv9hGcGL2I05iMRsihTEIkIx&#10;1Z6n2TEJZmfT7DaJ/96xF3uZx/CG977Jl7Pr1EhDaD0buFskoIgrb1uuDXxsn28fQIWIbLHzTAZ+&#10;KMCyuLzIMbN+4ncay1grCeGQoYEmxj7TOlQNOQwL3xOL9+UHh1HWodZ2wEnCXafTJLnXDluWhgZ7&#10;WjVUfZdHZ2CqNuNu+/aiNze7tefD+rAqP1+Nub6anx5BRZrj/zH84Qs6FMK090e2QXUG5JF4muKl&#10;Kaj9SXSR63Py4hcAAP//AwBQSwECLQAUAAYACAAAACEA5JnDwPsAAADhAQAAEwAAAAAAAAAAAAAA&#10;AAAAAAAAW0NvbnRlbnRfVHlwZXNdLnhtbFBLAQItABQABgAIAAAAIQAjsmrh1wAAAJQBAAALAAAA&#10;AAAAAAAAAAAAACwBAABfcmVscy8ucmVsc1BLAQItABQABgAIAAAAIQARJ0nkuAIAAMUFAAAOAAAA&#10;AAAAAAAAAAAAACwCAABkcnMvZTJvRG9jLnhtbFBLAQItABQABgAIAAAAIQCwmBm51wAAAAEBAAAP&#10;AAAAAAAAAAAAAAAAABAFAABkcnMvZG93bnJldi54bWxQSwUGAAAAAAQABADzAAAAFAYAAAAA&#10;" filled="f" stroked="f">
                <o:lock v:ext="edit" aspectratio="t"/>
                <w10:anchorlock/>
              </v:rect>
            </w:pict>
          </mc:Fallback>
        </mc:AlternateContent>
      </w:r>
      <w:r w:rsidRPr="008B0E49">
        <w:rPr>
          <w:rFonts w:ascii="Arial" w:eastAsia="Times New Roman" w:hAnsi="Arial" w:cs="Arial"/>
          <w:color w:val="000000"/>
          <w:sz w:val="20"/>
          <w:szCs w:val="20"/>
          <w:lang w:val="es-ES_tradnl" w:eastAsia="es-ES"/>
        </w:rPr>
        <w:t>Efectivamente</w:t>
      </w:r>
      <w:r w:rsidRPr="008B0E49">
        <w:rPr>
          <w:rFonts w:ascii="Calibri" w:eastAsia="Times New Roman" w:hAnsi="Calibri" w:cs="Times New Roman"/>
          <w:color w:val="000000"/>
          <w:lang w:val="es-ES_tradnl" w:eastAsia="es-ES"/>
        </w:rPr>
        <w:t> </w:t>
      </w:r>
      <w:r w:rsidRPr="008B0E49">
        <w:rPr>
          <w:rFonts w:ascii="Arial" w:eastAsia="Times New Roman" w:hAnsi="Arial" w:cs="Arial"/>
          <w:b/>
          <w:bCs/>
          <w:color w:val="000000"/>
          <w:sz w:val="20"/>
          <w:szCs w:val="20"/>
          <w:lang w:val="es-ES_tradnl" w:eastAsia="es-ES"/>
        </w:rPr>
        <w:t>la prevención</w:t>
      </w:r>
      <w:r w:rsidRPr="008B0E49">
        <w:rPr>
          <w:rFonts w:ascii="Calibri" w:eastAsia="Times New Roman" w:hAnsi="Calibri" w:cs="Times New Roman"/>
          <w:color w:val="000000"/>
          <w:lang w:val="es-ES_tradnl" w:eastAsia="es-ES"/>
        </w:rPr>
        <w:t> </w:t>
      </w:r>
      <w:r w:rsidR="003676F3">
        <w:rPr>
          <w:rFonts w:ascii="Arial" w:eastAsia="Times New Roman" w:hAnsi="Arial" w:cs="Arial"/>
          <w:b/>
          <w:bCs/>
          <w:color w:val="000000"/>
          <w:sz w:val="20"/>
          <w:szCs w:val="20"/>
          <w:lang w:val="es-ES_tradnl" w:eastAsia="es-ES"/>
        </w:rPr>
        <w:t>e</w:t>
      </w:r>
      <w:r w:rsidRPr="008B0E49">
        <w:rPr>
          <w:rFonts w:ascii="Arial" w:eastAsia="Times New Roman" w:hAnsi="Arial" w:cs="Arial"/>
          <w:b/>
          <w:bCs/>
          <w:color w:val="000000"/>
          <w:sz w:val="20"/>
          <w:szCs w:val="20"/>
          <w:lang w:val="es-ES_tradnl" w:eastAsia="es-ES"/>
        </w:rPr>
        <w:t>s una actividad, rotundamente, a priorizar.</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Tanto desde la perspectiva amb</w:t>
      </w:r>
      <w:r w:rsidRPr="008B0E49">
        <w:rPr>
          <w:rFonts w:ascii="Arial" w:eastAsia="Times New Roman" w:hAnsi="Arial" w:cs="Arial"/>
          <w:color w:val="000000"/>
          <w:sz w:val="20"/>
          <w:szCs w:val="20"/>
          <w:lang w:val="es-ES_tradnl" w:eastAsia="es-ES"/>
        </w:rPr>
        <w:t>iental (debería ser el primer</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argumento) como de la jerarquía de gestión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ó</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los residuos (de sentido como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uno),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que determina la Directiva 2008/98 / CE del Parlamento Europeo y del Consejo, de 19 de noviembre de 2008</w:t>
      </w:r>
      <w:r w:rsidRPr="008B0E49">
        <w:rPr>
          <w:rFonts w:ascii="Calibri" w:eastAsia="Times New Roman" w:hAnsi="Calibri" w:cs="Times New Roman"/>
          <w:color w:val="000000"/>
          <w:lang w:val="es-ES_tradnl" w:eastAsia="es-ES"/>
        </w:rPr>
        <w:t> </w:t>
      </w:r>
      <w:hyperlink r:id="rId10" w:anchor="footnote1" w:history="1">
        <w:r w:rsidRPr="008B0E49">
          <w:rPr>
            <w:rFonts w:ascii="Arial" w:eastAsia="Times New Roman" w:hAnsi="Arial" w:cs="Arial"/>
            <w:color w:val="0000FF"/>
            <w:sz w:val="20"/>
            <w:szCs w:val="20"/>
            <w:u w:val="single"/>
            <w:vertAlign w:val="superscript"/>
            <w:lang w:val="es-ES_tradnl" w:eastAsia="es-ES"/>
          </w:rPr>
          <w:t>1</w:t>
        </w:r>
      </w:hyperlink>
      <w:r w:rsidRPr="008B0E49">
        <w:rPr>
          <w:rFonts w:ascii="Arial" w:eastAsia="Times New Roman" w:hAnsi="Arial" w:cs="Arial"/>
          <w:color w:val="000000"/>
          <w:sz w:val="20"/>
          <w:szCs w:val="20"/>
          <w:lang w:val="es-ES_tradnl" w:eastAsia="es-ES"/>
        </w:rPr>
        <w:t>.</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Añadiría también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é</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que la gestión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ó</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los residuos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é</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s una actividad cara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si se quiere hacer correctamente.</w:t>
      </w:r>
      <w:r w:rsidRPr="008B0E49">
        <w:rPr>
          <w:rFonts w:ascii="Arial" w:hAnsi="Arial"/>
          <w:noProof/>
          <w:sz w:val="20"/>
          <w:szCs w:val="20"/>
          <w:lang w:val="es-ES" w:eastAsia="es-ES"/>
        </w:rPr>
        <w:t xml:space="preserve"> </w:t>
      </w:r>
    </w:p>
    <w:p w14:paraId="46D1F7CC" w14:textId="7D646F94" w:rsidR="008B0E49" w:rsidRPr="008B0E49" w:rsidRDefault="008B0E49" w:rsidP="003676F3">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A pesar de las políticas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 prevención,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más desarrolladas en</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 xml:space="preserve">países mucho </w:t>
      </w:r>
      <w:r w:rsidRPr="008B0E49">
        <w:rPr>
          <w:rFonts w:ascii="Arial" w:eastAsia="Times New Roman" w:hAnsi="Arial" w:cs="Arial"/>
          <w:color w:val="000000"/>
          <w:sz w:val="20"/>
          <w:szCs w:val="20"/>
          <w:lang w:val="es-ES_tradnl" w:eastAsia="es-ES"/>
        </w:rPr>
        <w:t xml:space="preserve">ambientalistas que </w:t>
      </w:r>
      <w:r>
        <w:rPr>
          <w:rFonts w:ascii="Arial" w:eastAsia="Times New Roman" w:hAnsi="Arial" w:cs="Arial"/>
          <w:color w:val="000000"/>
          <w:sz w:val="20"/>
          <w:szCs w:val="20"/>
          <w:lang w:val="es-ES_tradnl" w:eastAsia="es-ES"/>
        </w:rPr>
        <w:t xml:space="preserve">el </w:t>
      </w:r>
      <w:r w:rsidRPr="008B0E49">
        <w:rPr>
          <w:rFonts w:ascii="Arial" w:eastAsia="Times New Roman" w:hAnsi="Arial" w:cs="Arial"/>
          <w:color w:val="000000"/>
          <w:sz w:val="20"/>
          <w:szCs w:val="20"/>
          <w:lang w:val="es-ES_tradnl" w:eastAsia="es-ES"/>
        </w:rPr>
        <w:t>nuestro,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generamos residuos.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Ojalá no fuera así.</w:t>
      </w:r>
    </w:p>
    <w:p w14:paraId="001C1798" w14:textId="3D1D6C93" w:rsidR="008B0E49" w:rsidRPr="008B0E49" w:rsidRDefault="008B0E49" w:rsidP="003676F3">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Pr>
          <w:rFonts w:ascii="Arial" w:eastAsia="Times New Roman" w:hAnsi="Arial" w:cs="Arial"/>
          <w:color w:val="000000"/>
          <w:sz w:val="20"/>
          <w:szCs w:val="20"/>
          <w:lang w:val="es-ES_tradnl" w:eastAsia="es-ES"/>
        </w:rPr>
        <w:t>La valori</w:t>
      </w:r>
      <w:r w:rsidRPr="008B0E49">
        <w:rPr>
          <w:rFonts w:ascii="Arial" w:eastAsia="Times New Roman" w:hAnsi="Arial" w:cs="Arial"/>
          <w:color w:val="000000"/>
          <w:sz w:val="20"/>
          <w:szCs w:val="20"/>
          <w:lang w:val="es-ES_tradnl" w:eastAsia="es-ES"/>
        </w:rPr>
        <w:t>zaci</w:t>
      </w:r>
      <w:r>
        <w:rPr>
          <w:rFonts w:ascii="Calibri" w:eastAsia="Times New Roman" w:hAnsi="Calibri" w:cs="Times New Roman"/>
          <w:color w:val="000000"/>
          <w:lang w:val="es-ES_tradnl" w:eastAsia="es-ES"/>
        </w:rPr>
        <w:t>ón</w:t>
      </w:r>
      <w:r w:rsidRPr="008B0E49">
        <w:rPr>
          <w:rFonts w:ascii="Arial" w:eastAsia="Times New Roman" w:hAnsi="Arial" w:cs="Arial"/>
          <w:color w:val="000000"/>
          <w:sz w:val="20"/>
          <w:szCs w:val="20"/>
          <w:lang w:val="es-ES_tradnl" w:eastAsia="es-ES"/>
        </w:rPr>
        <w:t>, que incluye la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energ</w:t>
      </w:r>
      <w:r>
        <w:rPr>
          <w:rFonts w:ascii="Calibri" w:eastAsia="Times New Roman" w:hAnsi="Calibri" w:cs="Times New Roman"/>
          <w:color w:val="000000"/>
          <w:lang w:val="es-ES_tradnl" w:eastAsia="es-ES"/>
        </w:rPr>
        <w:t>é</w:t>
      </w:r>
      <w:r w:rsidRPr="008B0E49">
        <w:rPr>
          <w:rFonts w:ascii="Arial" w:eastAsia="Times New Roman" w:hAnsi="Arial" w:cs="Arial"/>
          <w:color w:val="000000"/>
          <w:sz w:val="20"/>
          <w:szCs w:val="20"/>
          <w:lang w:val="es-ES_tradnl" w:eastAsia="es-ES"/>
        </w:rPr>
        <w:t>tica, está</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jerarquizada por encima del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vertedero,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según la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citada Directiva 2008.</w:t>
      </w:r>
    </w:p>
    <w:p w14:paraId="50C1C476" w14:textId="684386DB"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Pr>
          <w:rFonts w:ascii="Arial" w:eastAsia="Times New Roman" w:hAnsi="Arial" w:cs="Arial"/>
          <w:color w:val="000000"/>
          <w:sz w:val="20"/>
          <w:szCs w:val="20"/>
          <w:lang w:val="es-ES_tradnl" w:eastAsia="es-ES"/>
        </w:rPr>
        <w:t>En Cataluny</w:t>
      </w:r>
      <w:r w:rsidRPr="008B0E49">
        <w:rPr>
          <w:rFonts w:ascii="Arial" w:eastAsia="Times New Roman" w:hAnsi="Arial" w:cs="Arial"/>
          <w:color w:val="000000"/>
          <w:sz w:val="20"/>
          <w:szCs w:val="20"/>
          <w:lang w:val="es-ES_tradnl" w:eastAsia="es-ES"/>
        </w:rPr>
        <w:t>a tenem</w:t>
      </w:r>
      <w:bookmarkStart w:id="1" w:name="_GoBack"/>
      <w:bookmarkEnd w:id="1"/>
      <w:r w:rsidRPr="008B0E49">
        <w:rPr>
          <w:rFonts w:ascii="Arial" w:eastAsia="Times New Roman" w:hAnsi="Arial" w:cs="Arial"/>
          <w:color w:val="000000"/>
          <w:sz w:val="20"/>
          <w:szCs w:val="20"/>
          <w:lang w:val="es-ES_tradnl" w:eastAsia="es-ES"/>
        </w:rPr>
        <w:t xml:space="preserve">os </w:t>
      </w:r>
      <w:r>
        <w:rPr>
          <w:rFonts w:ascii="Arial" w:eastAsia="Times New Roman" w:hAnsi="Arial" w:cs="Arial"/>
          <w:color w:val="000000"/>
          <w:sz w:val="20"/>
          <w:szCs w:val="20"/>
          <w:lang w:val="es-ES_tradnl" w:eastAsia="es-ES"/>
        </w:rPr>
        <w:t>dependencia energética</w:t>
      </w:r>
      <w:r w:rsidRPr="008B0E49">
        <w:rPr>
          <w:rFonts w:ascii="Arial" w:eastAsia="Times New Roman" w:hAnsi="Arial" w:cs="Arial"/>
          <w:color w:val="000000"/>
          <w:sz w:val="20"/>
          <w:szCs w:val="20"/>
          <w:lang w:val="es-ES_tradnl" w:eastAsia="es-ES"/>
        </w:rPr>
        <w:t xml:space="preserve"> externa.</w:t>
      </w:r>
    </w:p>
    <w:p w14:paraId="349ABD15" w14:textId="130B1F8A"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La Directiva 2009/28 / CE del Parlamento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w:t>
      </w:r>
      <w:r>
        <w:rPr>
          <w:rFonts w:ascii="Arial" w:eastAsia="Times New Roman" w:hAnsi="Arial" w:cs="Arial"/>
          <w:color w:val="000000"/>
          <w:sz w:val="20"/>
          <w:szCs w:val="20"/>
          <w:lang w:val="es-ES_tradnl" w:eastAsia="es-ES"/>
        </w:rPr>
        <w:t xml:space="preserve">uropeo </w:t>
      </w:r>
      <w:r w:rsidRPr="008B0E49">
        <w:rPr>
          <w:rFonts w:ascii="Arial" w:eastAsia="Times New Roman" w:hAnsi="Arial" w:cs="Arial"/>
          <w:color w:val="000000"/>
          <w:sz w:val="20"/>
          <w:szCs w:val="20"/>
          <w:lang w:val="es-ES_tradnl" w:eastAsia="es-ES"/>
        </w:rPr>
        <w:t>y del Consejo, de 23</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abril de 2009 relativa al fomento de</w:t>
      </w:r>
      <w:r>
        <w:rPr>
          <w:rFonts w:ascii="Arial" w:eastAsia="Times New Roman" w:hAnsi="Arial" w:cs="Arial"/>
          <w:color w:val="000000"/>
          <w:sz w:val="20"/>
          <w:szCs w:val="20"/>
          <w:lang w:val="es-ES_tradnl" w:eastAsia="es-ES"/>
        </w:rPr>
        <w:t>l uso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energía procedente de fuentes renovables,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incluye que una parte de lo que se valoriza energéticamente puede computar como fuente 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energía renovable.</w:t>
      </w:r>
    </w:p>
    <w:p w14:paraId="2F54AB2B" w14:textId="1072DEBC"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Uno de los objetivos respecto al</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uso</w:t>
      </w:r>
      <w:r w:rsidRPr="008B0E49">
        <w:rPr>
          <w:rFonts w:ascii="Arial" w:eastAsia="Times New Roman" w:hAnsi="Arial" w:cs="Arial"/>
          <w:color w:val="000000"/>
          <w:sz w:val="20"/>
          <w:szCs w:val="20"/>
          <w:lang w:val="es-ES_tradnl" w:eastAsia="es-ES"/>
        </w:rPr>
        <w:t xml:space="preserve"> del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vertedero está</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fijado de tal manera que, como máximo, un 10% de la generación de residuos urbanos pueda ir al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vertedero 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año 2030.</w:t>
      </w:r>
    </w:p>
    <w:p w14:paraId="5E37509C" w14:textId="06FF2A38"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El texto aprobado no presenta ningún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xml:space="preserve">tipo de </w:t>
      </w:r>
      <w:r>
        <w:rPr>
          <w:rFonts w:ascii="Arial" w:eastAsia="Times New Roman" w:hAnsi="Arial" w:cs="Arial"/>
          <w:color w:val="000000"/>
          <w:sz w:val="20"/>
          <w:szCs w:val="20"/>
          <w:lang w:val="es-ES_tradnl" w:eastAsia="es-ES"/>
        </w:rPr>
        <w:t>referencia en</w:t>
      </w:r>
      <w:r w:rsidRPr="008B0E49">
        <w:rPr>
          <w:rFonts w:ascii="Arial" w:eastAsia="Times New Roman" w:hAnsi="Arial" w:cs="Arial"/>
          <w:color w:val="000000"/>
          <w:sz w:val="20"/>
          <w:szCs w:val="20"/>
          <w:lang w:val="es-ES_tradnl" w:eastAsia="es-ES"/>
        </w:rPr>
        <w:t xml:space="preserve"> promover,</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instar ningún debate o calendario en torno a la reducción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eliminació</w:t>
      </w:r>
      <w:r>
        <w:rPr>
          <w:rFonts w:ascii="Arial" w:eastAsia="Times New Roman" w:hAnsi="Arial" w:cs="Arial"/>
          <w:color w:val="000000"/>
          <w:sz w:val="20"/>
          <w:szCs w:val="20"/>
          <w:lang w:val="es-ES_tradnl" w:eastAsia="es-ES"/>
        </w:rPr>
        <w:t>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 la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actividad 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eliminación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 residuos a través de los vertederos o</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de</w:t>
      </w:r>
      <w:r w:rsidRPr="008B0E49">
        <w:rPr>
          <w:rFonts w:ascii="Arial" w:eastAsia="Times New Roman" w:hAnsi="Arial" w:cs="Arial"/>
          <w:color w:val="000000"/>
          <w:sz w:val="20"/>
          <w:szCs w:val="20"/>
          <w:lang w:val="es-ES_tradnl" w:eastAsia="es-ES"/>
        </w:rPr>
        <w:t>pósitos controlados</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en Cataluny</w:t>
      </w:r>
      <w:r w:rsidRPr="008B0E49">
        <w:rPr>
          <w:rFonts w:ascii="Arial" w:eastAsia="Times New Roman" w:hAnsi="Arial" w:cs="Arial"/>
          <w:color w:val="000000"/>
          <w:sz w:val="20"/>
          <w:szCs w:val="20"/>
          <w:lang w:val="es-ES_tradnl" w:eastAsia="es-ES"/>
        </w:rPr>
        <w:t>a.</w:t>
      </w:r>
    </w:p>
    <w:p w14:paraId="0B1C4F29" w14:textId="0DDF7D29"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En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año 2015,</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en Cataluny</w:t>
      </w:r>
      <w:r w:rsidRPr="008B0E49">
        <w:rPr>
          <w:rFonts w:ascii="Arial" w:eastAsia="Times New Roman" w:hAnsi="Arial" w:cs="Arial"/>
          <w:color w:val="000000"/>
          <w:sz w:val="20"/>
          <w:szCs w:val="20"/>
          <w:lang w:val="es-ES_tradnl" w:eastAsia="es-ES"/>
        </w:rPr>
        <w:t>a, del total de 3.703.658 ton</w:t>
      </w:r>
      <w:r>
        <w:rPr>
          <w:rFonts w:ascii="Arial" w:eastAsia="Times New Roman" w:hAnsi="Arial" w:cs="Arial"/>
          <w:color w:val="000000"/>
          <w:sz w:val="20"/>
          <w:szCs w:val="20"/>
          <w:lang w:val="es-ES_tradnl" w:eastAsia="es-ES"/>
        </w:rPr>
        <w:t>ela</w:t>
      </w:r>
      <w:r w:rsidRPr="008B0E49">
        <w:rPr>
          <w:rFonts w:ascii="Arial" w:eastAsia="Times New Roman" w:hAnsi="Arial" w:cs="Arial"/>
          <w:color w:val="000000"/>
          <w:sz w:val="20"/>
          <w:szCs w:val="20"/>
          <w:lang w:val="es-ES_tradnl" w:eastAsia="es-ES"/>
        </w:rPr>
        <w:t>das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 residuos municipales generados, 1.495.026, el 40,37%, acabaron depositadas en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vertedero</w:t>
      </w:r>
      <w:r>
        <w:rPr>
          <w:rFonts w:ascii="Arial" w:eastAsia="Times New Roman" w:hAnsi="Arial" w:cs="Arial"/>
          <w:color w:val="000000"/>
          <w:sz w:val="20"/>
          <w:szCs w:val="20"/>
          <w:lang w:val="es-ES_tradnl" w:eastAsia="es-ES"/>
        </w:rPr>
        <w:t>,</w:t>
      </w:r>
      <w:r w:rsidRPr="008B0E49">
        <w:rPr>
          <w:rFonts w:ascii="Arial" w:eastAsia="Times New Roman" w:hAnsi="Arial" w:cs="Arial"/>
          <w:color w:val="000000"/>
          <w:sz w:val="20"/>
          <w:szCs w:val="20"/>
          <w:lang w:val="es-ES_tradnl" w:eastAsia="es-ES"/>
        </w:rPr>
        <w:t xml:space="preserve"> en los 23 depósitos controlados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que están operativos</w:t>
      </w:r>
      <w:r w:rsidRPr="008B0E49">
        <w:rPr>
          <w:rFonts w:ascii="Calibri" w:eastAsia="Times New Roman" w:hAnsi="Calibri" w:cs="Times New Roman"/>
          <w:color w:val="000000"/>
          <w:lang w:val="es-ES_tradnl" w:eastAsia="es-ES"/>
        </w:rPr>
        <w:t> </w:t>
      </w:r>
      <w:r>
        <w:rPr>
          <w:rFonts w:ascii="Arial" w:eastAsia="Times New Roman" w:hAnsi="Arial" w:cs="Arial"/>
          <w:color w:val="000000"/>
          <w:sz w:val="20"/>
          <w:szCs w:val="20"/>
          <w:lang w:val="es-ES_tradnl" w:eastAsia="es-ES"/>
        </w:rPr>
        <w:t>en Cataluny</w:t>
      </w:r>
      <w:r w:rsidRPr="008B0E49">
        <w:rPr>
          <w:rFonts w:ascii="Arial" w:eastAsia="Times New Roman" w:hAnsi="Arial" w:cs="Arial"/>
          <w:color w:val="000000"/>
          <w:sz w:val="20"/>
          <w:szCs w:val="20"/>
          <w:lang w:val="es-ES_tradnl" w:eastAsia="es-ES"/>
        </w:rPr>
        <w:t>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xml:space="preserve">Mientras que 761.506 </w:t>
      </w:r>
      <w:r>
        <w:rPr>
          <w:rFonts w:ascii="Arial" w:eastAsia="Times New Roman" w:hAnsi="Arial" w:cs="Arial"/>
          <w:color w:val="000000"/>
          <w:sz w:val="20"/>
          <w:szCs w:val="20"/>
          <w:lang w:val="es-ES_tradnl" w:eastAsia="es-ES"/>
        </w:rPr>
        <w:t>tonela</w:t>
      </w:r>
      <w:r w:rsidRPr="008B0E49">
        <w:rPr>
          <w:rFonts w:ascii="Arial" w:eastAsia="Times New Roman" w:hAnsi="Arial" w:cs="Arial"/>
          <w:color w:val="000000"/>
          <w:sz w:val="20"/>
          <w:szCs w:val="20"/>
          <w:lang w:val="es-ES_tradnl" w:eastAsia="es-ES"/>
        </w:rPr>
        <w:t>das, el 20,56% de los residuos municipales generados, fueron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tratadas a las 4 plantas 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incineració</w:t>
      </w:r>
      <w:r>
        <w:rPr>
          <w:rFonts w:ascii="Arial" w:eastAsia="Times New Roman" w:hAnsi="Arial" w:cs="Arial"/>
          <w:color w:val="000000"/>
          <w:sz w:val="20"/>
          <w:szCs w:val="20"/>
          <w:lang w:val="es-ES_tradnl" w:eastAsia="es-ES"/>
        </w:rPr>
        <w:t>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con valoriza</w:t>
      </w:r>
      <w:r w:rsidR="003676F3">
        <w:rPr>
          <w:rFonts w:ascii="Arial" w:eastAsia="Times New Roman" w:hAnsi="Arial" w:cs="Arial"/>
          <w:color w:val="000000"/>
          <w:sz w:val="20"/>
          <w:szCs w:val="20"/>
          <w:lang w:val="es-ES_tradnl" w:eastAsia="es-ES"/>
        </w:rPr>
        <w:t>-</w:t>
      </w:r>
      <w:proofErr w:type="spellStart"/>
      <w:r w:rsidRPr="008B0E49">
        <w:rPr>
          <w:rFonts w:ascii="Arial" w:eastAsia="Times New Roman" w:hAnsi="Arial" w:cs="Arial"/>
          <w:color w:val="000000"/>
          <w:sz w:val="20"/>
          <w:szCs w:val="20"/>
          <w:lang w:val="es-ES_tradnl" w:eastAsia="es-ES"/>
        </w:rPr>
        <w:lastRenderedPageBreak/>
        <w:t>ción</w:t>
      </w:r>
      <w:proofErr w:type="spellEnd"/>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energética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existentes, suministrando electricidad para el con</w:t>
      </w:r>
      <w:r>
        <w:rPr>
          <w:rFonts w:ascii="Arial" w:eastAsia="Times New Roman" w:hAnsi="Arial" w:cs="Arial"/>
          <w:color w:val="000000"/>
          <w:sz w:val="20"/>
          <w:szCs w:val="20"/>
          <w:lang w:val="es-ES_tradnl" w:eastAsia="es-ES"/>
        </w:rPr>
        <w:t>su</w:t>
      </w:r>
      <w:r w:rsidRPr="008B0E49">
        <w:rPr>
          <w:rFonts w:ascii="Arial" w:eastAsia="Times New Roman" w:hAnsi="Arial" w:cs="Arial"/>
          <w:color w:val="000000"/>
          <w:sz w:val="20"/>
          <w:szCs w:val="20"/>
          <w:lang w:val="es-ES_tradnl" w:eastAsia="es-ES"/>
        </w:rPr>
        <w:t>mo doméstico de cerca de 300.000</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personas.</w:t>
      </w:r>
    </w:p>
    <w:p w14:paraId="58158D3E" w14:textId="1CE5E3E4" w:rsidR="008B0E49" w:rsidRPr="008B0E49" w:rsidRDefault="003676F3"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Pr>
          <w:rFonts w:ascii="Arial" w:eastAsia="Times New Roman" w:hAnsi="Arial" w:cs="Arial"/>
          <w:color w:val="000000"/>
          <w:sz w:val="20"/>
          <w:szCs w:val="20"/>
          <w:lang w:val="es-ES_tradnl" w:eastAsia="es-ES"/>
        </w:rPr>
        <w:t>En Cataluny</w:t>
      </w:r>
      <w:r w:rsidR="008B0E49" w:rsidRPr="008B0E49">
        <w:rPr>
          <w:rFonts w:ascii="Arial" w:eastAsia="Times New Roman" w:hAnsi="Arial" w:cs="Arial"/>
          <w:color w:val="000000"/>
          <w:sz w:val="20"/>
          <w:szCs w:val="20"/>
          <w:lang w:val="es-ES_tradnl" w:eastAsia="es-ES"/>
        </w:rPr>
        <w:t>a todas las plantas de</w:t>
      </w:r>
      <w:r w:rsidR="008B0E49"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valorización</w:t>
      </w:r>
      <w:r w:rsidR="008B0E49" w:rsidRPr="008B0E49">
        <w:rPr>
          <w:rFonts w:ascii="Calibri" w:eastAsia="Times New Roman" w:hAnsi="Calibri" w:cs="Times New Roman"/>
          <w:color w:val="000000"/>
          <w:lang w:val="es-ES_tradnl" w:eastAsia="es-ES"/>
        </w:rPr>
        <w:t> </w:t>
      </w:r>
      <w:r w:rsidR="008B0E49" w:rsidRPr="008B0E49">
        <w:rPr>
          <w:rFonts w:ascii="Arial" w:eastAsia="Times New Roman" w:hAnsi="Arial" w:cs="Arial"/>
          <w:color w:val="000000"/>
          <w:sz w:val="20"/>
          <w:szCs w:val="20"/>
          <w:lang w:val="es-ES_tradnl" w:eastAsia="es-ES"/>
        </w:rPr>
        <w:t>energética</w:t>
      </w:r>
      <w:r w:rsidR="008B0E49" w:rsidRPr="008B0E49">
        <w:rPr>
          <w:rFonts w:ascii="Calibri" w:eastAsia="Times New Roman" w:hAnsi="Calibri" w:cs="Times New Roman"/>
          <w:color w:val="000000"/>
          <w:lang w:val="es-ES_tradnl" w:eastAsia="es-ES"/>
        </w:rPr>
        <w:t> </w:t>
      </w:r>
      <w:r w:rsidR="008B0E49" w:rsidRPr="008B0E49">
        <w:rPr>
          <w:rFonts w:ascii="Arial" w:eastAsia="Times New Roman" w:hAnsi="Arial" w:cs="Arial"/>
          <w:color w:val="000000"/>
          <w:sz w:val="20"/>
          <w:szCs w:val="20"/>
          <w:lang w:val="es-ES_tradnl" w:eastAsia="es-ES"/>
        </w:rPr>
        <w:t>s</w:t>
      </w:r>
      <w:r>
        <w:rPr>
          <w:rFonts w:ascii="Calibri" w:eastAsia="Times New Roman" w:hAnsi="Calibri" w:cs="Times New Roman"/>
          <w:color w:val="000000"/>
          <w:lang w:val="es-ES_tradnl" w:eastAsia="es-ES"/>
        </w:rPr>
        <w:t>o</w:t>
      </w:r>
      <w:r>
        <w:rPr>
          <w:rFonts w:ascii="Arial" w:eastAsia="Times New Roman" w:hAnsi="Arial" w:cs="Arial"/>
          <w:color w:val="000000"/>
          <w:sz w:val="20"/>
          <w:szCs w:val="20"/>
          <w:lang w:val="es-ES_tradnl" w:eastAsia="es-ES"/>
        </w:rPr>
        <w:t>n de titularidad pú</w:t>
      </w:r>
      <w:r w:rsidR="008B0E49" w:rsidRPr="008B0E49">
        <w:rPr>
          <w:rFonts w:ascii="Arial" w:eastAsia="Times New Roman" w:hAnsi="Arial" w:cs="Arial"/>
          <w:color w:val="000000"/>
          <w:sz w:val="20"/>
          <w:szCs w:val="20"/>
          <w:lang w:val="es-ES_tradnl" w:eastAsia="es-ES"/>
        </w:rPr>
        <w:t>blica.</w:t>
      </w:r>
    </w:p>
    <w:p w14:paraId="4DD869F3" w14:textId="643366F4"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La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titularidad</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privada en la gest</w:t>
      </w:r>
      <w:r w:rsidR="003676F3">
        <w:rPr>
          <w:rFonts w:ascii="Arial" w:eastAsia="Times New Roman" w:hAnsi="Arial" w:cs="Arial"/>
          <w:color w:val="000000"/>
          <w:sz w:val="20"/>
          <w:szCs w:val="20"/>
          <w:lang w:val="es-ES_tradnl" w:eastAsia="es-ES"/>
        </w:rPr>
        <w:t>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y</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los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grandes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vertederos</w:t>
      </w:r>
      <w:r w:rsidRPr="008B0E49">
        <w:rPr>
          <w:rFonts w:ascii="Calibri" w:eastAsia="Times New Roman" w:hAnsi="Calibri" w:cs="Times New Roman"/>
          <w:color w:val="000000"/>
          <w:lang w:val="es-ES_tradnl" w:eastAsia="es-ES"/>
        </w:rPr>
        <w:t> </w:t>
      </w:r>
      <w:r w:rsidR="003676F3">
        <w:rPr>
          <w:rFonts w:ascii="Arial" w:eastAsia="Times New Roman" w:hAnsi="Arial" w:cs="Arial"/>
          <w:color w:val="000000"/>
          <w:sz w:val="20"/>
          <w:szCs w:val="20"/>
          <w:lang w:val="es-ES_tradnl" w:eastAsia="es-ES"/>
        </w:rPr>
        <w:t>e</w:t>
      </w:r>
      <w:r w:rsidRPr="008B0E49">
        <w:rPr>
          <w:rFonts w:ascii="Arial" w:eastAsia="Times New Roman" w:hAnsi="Arial" w:cs="Arial"/>
          <w:color w:val="000000"/>
          <w:sz w:val="20"/>
          <w:szCs w:val="20"/>
          <w:lang w:val="es-ES_tradnl" w:eastAsia="es-ES"/>
        </w:rPr>
        <w:t>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mayoritaria</w:t>
      </w:r>
      <w:r w:rsidR="003676F3">
        <w:rPr>
          <w:rFonts w:ascii="Arial" w:eastAsia="Times New Roman" w:hAnsi="Arial" w:cs="Arial"/>
          <w:color w:val="000000"/>
          <w:sz w:val="20"/>
          <w:szCs w:val="20"/>
          <w:lang w:val="es-ES_tradnl" w:eastAsia="es-ES"/>
        </w:rPr>
        <w:t>mente privada</w:t>
      </w:r>
      <w:r w:rsidRPr="008B0E49">
        <w:rPr>
          <w:rFonts w:ascii="Arial" w:eastAsia="Times New Roman" w:hAnsi="Arial" w:cs="Arial"/>
          <w:color w:val="000000"/>
          <w:sz w:val="20"/>
          <w:szCs w:val="20"/>
          <w:lang w:val="es-ES_tradnl" w:eastAsia="es-ES"/>
        </w:rPr>
        <w:t>.</w:t>
      </w:r>
    </w:p>
    <w:p w14:paraId="026574BC" w14:textId="09D0A9F3"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b/>
          <w:bCs/>
          <w:color w:val="000000"/>
          <w:sz w:val="20"/>
          <w:szCs w:val="20"/>
          <w:lang w:val="es-ES_tradnl" w:eastAsia="es-ES"/>
        </w:rPr>
        <w:t xml:space="preserve">Los </w:t>
      </w:r>
      <w:r w:rsidR="003676F3" w:rsidRPr="008B0E49">
        <w:rPr>
          <w:rFonts w:ascii="Arial" w:eastAsia="Times New Roman" w:hAnsi="Arial" w:cs="Arial"/>
          <w:b/>
          <w:bCs/>
          <w:color w:val="000000"/>
          <w:sz w:val="20"/>
          <w:szCs w:val="20"/>
          <w:lang w:val="es-ES_tradnl" w:eastAsia="es-ES"/>
        </w:rPr>
        <w:t>pa</w:t>
      </w:r>
      <w:r w:rsidR="003676F3">
        <w:rPr>
          <w:rFonts w:ascii="Arial" w:eastAsia="Times New Roman" w:hAnsi="Arial" w:cs="Arial"/>
          <w:b/>
          <w:bCs/>
          <w:color w:val="000000"/>
          <w:sz w:val="20"/>
          <w:szCs w:val="20"/>
          <w:lang w:val="es-ES_tradnl" w:eastAsia="es-ES"/>
        </w:rPr>
        <w:t>í</w:t>
      </w:r>
      <w:r w:rsidR="003676F3" w:rsidRPr="008B0E49">
        <w:rPr>
          <w:rFonts w:ascii="Arial" w:eastAsia="Times New Roman" w:hAnsi="Arial" w:cs="Arial"/>
          <w:b/>
          <w:bCs/>
          <w:color w:val="000000"/>
          <w:sz w:val="20"/>
          <w:szCs w:val="20"/>
          <w:lang w:val="es-ES_tradnl" w:eastAsia="es-ES"/>
        </w:rPr>
        <w:t>ses</w:t>
      </w:r>
      <w:r w:rsidRPr="008B0E49">
        <w:rPr>
          <w:rFonts w:ascii="Arial" w:eastAsia="Times New Roman" w:hAnsi="Arial" w:cs="Arial"/>
          <w:b/>
          <w:bCs/>
          <w:color w:val="000000"/>
          <w:sz w:val="20"/>
          <w:szCs w:val="20"/>
          <w:lang w:val="es-ES_tradnl" w:eastAsia="es-ES"/>
        </w:rPr>
        <w:t xml:space="preserve"> que más valorizan en Europa s</w:t>
      </w:r>
      <w:r w:rsidR="003676F3">
        <w:rPr>
          <w:rFonts w:ascii="Calibri" w:eastAsia="Times New Roman" w:hAnsi="Calibri" w:cs="Times New Roman"/>
          <w:color w:val="000000"/>
          <w:lang w:val="es-ES_tradnl" w:eastAsia="es-ES"/>
        </w:rPr>
        <w:t>o</w:t>
      </w:r>
      <w:r w:rsidRPr="008B0E49">
        <w:rPr>
          <w:rFonts w:ascii="Arial" w:eastAsia="Times New Roman" w:hAnsi="Arial" w:cs="Arial"/>
          <w:b/>
          <w:bCs/>
          <w:color w:val="000000"/>
          <w:sz w:val="20"/>
          <w:szCs w:val="20"/>
          <w:lang w:val="es-ES_tradnl" w:eastAsia="es-ES"/>
        </w:rPr>
        <w:t>n los que tienen menos gestión</w:t>
      </w:r>
      <w:r w:rsidRPr="008B0E49">
        <w:rPr>
          <w:rFonts w:ascii="Calibri" w:eastAsia="Times New Roman" w:hAnsi="Calibri" w:cs="Times New Roman"/>
          <w:color w:val="000000"/>
          <w:lang w:val="es-ES_tradnl" w:eastAsia="es-ES"/>
        </w:rPr>
        <w:t> </w:t>
      </w:r>
      <w:r w:rsidRPr="008B0E49">
        <w:rPr>
          <w:rFonts w:ascii="Arial" w:eastAsia="Times New Roman" w:hAnsi="Arial" w:cs="Arial"/>
          <w:b/>
          <w:bCs/>
          <w:color w:val="000000"/>
          <w:sz w:val="20"/>
          <w:szCs w:val="20"/>
          <w:lang w:val="es-ES_tradnl" w:eastAsia="es-ES"/>
        </w:rPr>
        <w:t>vía vertedero.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año 2015,</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 la UE-28,</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del total de</w:t>
      </w:r>
      <w:r w:rsidR="003676F3">
        <w:rPr>
          <w:rFonts w:ascii="Arial" w:eastAsia="Times New Roman" w:hAnsi="Arial" w:cs="Arial"/>
          <w:color w:val="000000"/>
          <w:sz w:val="20"/>
          <w:szCs w:val="20"/>
          <w:lang w:val="es-ES_tradnl" w:eastAsia="es-ES"/>
        </w:rPr>
        <w:t xml:space="preserve"> residuos municipales generados</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 tratamiento</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por la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vía</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de la</w:t>
      </w:r>
      <w:r w:rsidRPr="008B0E49">
        <w:rPr>
          <w:rFonts w:ascii="Calibri" w:eastAsia="Times New Roman" w:hAnsi="Calibri" w:cs="Times New Roman"/>
          <w:color w:val="000000"/>
          <w:lang w:val="es-ES_tradnl" w:eastAsia="es-ES"/>
        </w:rPr>
        <w:t> </w:t>
      </w:r>
      <w:r w:rsidR="003676F3" w:rsidRPr="008B0E49">
        <w:rPr>
          <w:rFonts w:ascii="Arial" w:eastAsia="Times New Roman" w:hAnsi="Arial" w:cs="Arial"/>
          <w:color w:val="000000"/>
          <w:sz w:val="20"/>
          <w:szCs w:val="20"/>
          <w:lang w:val="es-ES_tradnl" w:eastAsia="es-ES"/>
        </w:rPr>
        <w:t>valorizació</w:t>
      </w:r>
      <w:r w:rsidR="003676F3">
        <w:rPr>
          <w:rFonts w:ascii="Calibri" w:eastAsia="Times New Roman" w:hAnsi="Calibri" w:cs="Times New Roman"/>
          <w:color w:val="000000"/>
          <w:lang w:val="es-ES_tradnl" w:eastAsia="es-ES"/>
        </w:rPr>
        <w:t>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energética se situó en el 27%.</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Observando los Estados con mejores resultados, hay 10 Estados con resultados de reciclaje + compostaje superiores al 45%</w:t>
      </w:r>
      <w:r w:rsidRPr="008B0E49">
        <w:rPr>
          <w:rFonts w:ascii="Calibri" w:eastAsia="Times New Roman" w:hAnsi="Calibri" w:cs="Times New Roman"/>
          <w:color w:val="000000"/>
          <w:lang w:val="es-ES_tradnl" w:eastAsia="es-ES"/>
        </w:rPr>
        <w:t> </w:t>
      </w:r>
      <w:r w:rsidRPr="008B0E49">
        <w:rPr>
          <w:rFonts w:ascii="Arial" w:eastAsia="Times New Roman" w:hAnsi="Arial" w:cs="Arial"/>
          <w:b/>
          <w:bCs/>
          <w:color w:val="000000"/>
          <w:sz w:val="20"/>
          <w:szCs w:val="20"/>
          <w:lang w:val="es-ES_tradnl" w:eastAsia="es-ES"/>
        </w:rPr>
        <w:t>(ent</w:t>
      </w:r>
      <w:r w:rsidR="003676F3">
        <w:rPr>
          <w:rFonts w:ascii="Arial" w:eastAsia="Times New Roman" w:hAnsi="Arial" w:cs="Arial"/>
          <w:b/>
          <w:bCs/>
          <w:color w:val="000000"/>
          <w:sz w:val="20"/>
          <w:szCs w:val="20"/>
          <w:lang w:val="es-ES_tradnl" w:eastAsia="es-ES"/>
        </w:rPr>
        <w:t>endemos que estos serían los estándares europeos de referencia</w:t>
      </w:r>
      <w:r w:rsidRPr="008B0E49">
        <w:rPr>
          <w:rFonts w:ascii="Arial" w:eastAsia="Times New Roman" w:hAnsi="Arial" w:cs="Arial"/>
          <w:b/>
          <w:bCs/>
          <w:color w:val="000000"/>
          <w:sz w:val="20"/>
          <w:szCs w:val="20"/>
          <w:lang w:val="es-ES_tradnl" w:eastAsia="es-ES"/>
        </w:rPr>
        <w:t>),</w:t>
      </w:r>
      <w:r w:rsidRPr="008B0E49">
        <w:rPr>
          <w:rFonts w:ascii="Arial" w:eastAsia="Times New Roman" w:hAnsi="Arial" w:cs="Arial"/>
          <w:color w:val="000000"/>
          <w:sz w:val="20"/>
          <w:szCs w:val="20"/>
          <w:lang w:val="es-ES_tradnl" w:eastAsia="es-ES"/>
        </w:rPr>
        <w:t> de los cuales 6 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ellos mantienen el</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vertido como operación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puramente marginal (menos del 5%), al tiempo que 8 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xml:space="preserve">ellos presentan aportaciones de </w:t>
      </w:r>
      <w:r w:rsidR="003676F3" w:rsidRPr="008B0E49">
        <w:rPr>
          <w:rFonts w:ascii="Arial" w:eastAsia="Times New Roman" w:hAnsi="Arial" w:cs="Arial"/>
          <w:color w:val="000000"/>
          <w:sz w:val="20"/>
          <w:szCs w:val="20"/>
          <w:lang w:val="es-ES_tradnl" w:eastAsia="es-ES"/>
        </w:rPr>
        <w:t>valorizació</w:t>
      </w:r>
      <w:r w:rsidR="003676F3">
        <w:rPr>
          <w:rFonts w:ascii="Calibri" w:eastAsia="Times New Roman" w:hAnsi="Calibri" w:cs="Times New Roman"/>
          <w:color w:val="000000"/>
          <w:lang w:val="es-ES_tradnl" w:eastAsia="es-ES"/>
        </w:rPr>
        <w:t>n</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xml:space="preserve">energética entre el 32 y 53%, </w:t>
      </w:r>
      <w:r w:rsidR="003676F3">
        <w:rPr>
          <w:rFonts w:ascii="Arial" w:eastAsia="Times New Roman" w:hAnsi="Arial" w:cs="Arial"/>
          <w:color w:val="000000"/>
          <w:sz w:val="20"/>
          <w:szCs w:val="20"/>
          <w:lang w:val="es-ES_tradnl" w:eastAsia="es-ES"/>
        </w:rPr>
        <w:t>sólo</w:t>
      </w:r>
      <w:r w:rsidRPr="008B0E49">
        <w:rPr>
          <w:rFonts w:ascii="Arial" w:eastAsia="Times New Roman" w:hAnsi="Arial" w:cs="Arial"/>
          <w:color w:val="000000"/>
          <w:sz w:val="20"/>
          <w:szCs w:val="20"/>
          <w:lang w:val="es-ES_tradnl" w:eastAsia="es-ES"/>
        </w:rPr>
        <w:t xml:space="preserve"> Eslovaquia</w:t>
      </w:r>
      <w:r w:rsidRPr="008B0E49">
        <w:rPr>
          <w:rFonts w:ascii="Calibri" w:eastAsia="Times New Roman" w:hAnsi="Calibri" w:cs="Times New Roman"/>
          <w:color w:val="000000"/>
          <w:lang w:val="es-ES_tradnl" w:eastAsia="es-ES"/>
        </w:rPr>
        <w:t> </w:t>
      </w:r>
      <w:r w:rsidR="003676F3">
        <w:rPr>
          <w:rFonts w:ascii="Arial" w:eastAsia="Times New Roman" w:hAnsi="Arial" w:cs="Arial"/>
          <w:color w:val="000000"/>
          <w:sz w:val="20"/>
          <w:szCs w:val="20"/>
          <w:lang w:val="es-ES_tradnl" w:eastAsia="es-ES"/>
        </w:rPr>
        <w:t>e Italia</w:t>
      </w:r>
      <w:r w:rsidRPr="008B0E49">
        <w:rPr>
          <w:rFonts w:ascii="Arial" w:eastAsia="Times New Roman" w:hAnsi="Arial" w:cs="Arial"/>
          <w:color w:val="000000"/>
          <w:sz w:val="20"/>
          <w:szCs w:val="20"/>
          <w:lang w:val="es-ES_tradnl" w:eastAsia="es-ES"/>
        </w:rPr>
        <w:t xml:space="preserve"> tienen </w:t>
      </w:r>
      <w:r w:rsidR="003676F3">
        <w:rPr>
          <w:rFonts w:ascii="Arial" w:eastAsia="Times New Roman" w:hAnsi="Arial" w:cs="Arial"/>
          <w:color w:val="000000"/>
          <w:sz w:val="20"/>
          <w:szCs w:val="20"/>
          <w:lang w:val="es-ES_tradnl" w:eastAsia="es-ES"/>
        </w:rPr>
        <w:t xml:space="preserve">más presencia </w:t>
      </w:r>
      <w:r w:rsidRPr="008B0E49">
        <w:rPr>
          <w:rFonts w:ascii="Arial" w:eastAsia="Times New Roman" w:hAnsi="Arial" w:cs="Arial"/>
          <w:color w:val="000000"/>
          <w:sz w:val="20"/>
          <w:szCs w:val="20"/>
          <w:lang w:val="es-ES_tradnl" w:eastAsia="es-ES"/>
        </w:rPr>
        <w:t>de</w:t>
      </w:r>
      <w:r w:rsidRPr="008B0E49">
        <w:rPr>
          <w:rFonts w:ascii="Calibri" w:eastAsia="Times New Roman" w:hAnsi="Calibri" w:cs="Times New Roman"/>
          <w:color w:val="000000"/>
          <w:lang w:val="es-ES_tradnl" w:eastAsia="es-ES"/>
        </w:rPr>
        <w:t> </w:t>
      </w:r>
      <w:r w:rsidRPr="008B0E49">
        <w:rPr>
          <w:rFonts w:ascii="Arial" w:eastAsia="Times New Roman" w:hAnsi="Arial" w:cs="Arial"/>
          <w:color w:val="000000"/>
          <w:sz w:val="20"/>
          <w:szCs w:val="20"/>
          <w:lang w:val="es-ES_tradnl" w:eastAsia="es-ES"/>
        </w:rPr>
        <w:t xml:space="preserve">vertedero que de </w:t>
      </w:r>
      <w:r w:rsidR="003676F3" w:rsidRPr="008B0E49">
        <w:rPr>
          <w:rFonts w:ascii="Arial" w:eastAsia="Times New Roman" w:hAnsi="Arial" w:cs="Arial"/>
          <w:color w:val="000000"/>
          <w:sz w:val="20"/>
          <w:szCs w:val="20"/>
          <w:lang w:val="es-ES_tradnl" w:eastAsia="es-ES"/>
        </w:rPr>
        <w:t>valorizació</w:t>
      </w:r>
      <w:r w:rsidR="003676F3">
        <w:rPr>
          <w:rFonts w:ascii="Calibri" w:eastAsia="Times New Roman" w:hAnsi="Calibri" w:cs="Times New Roman"/>
          <w:color w:val="000000"/>
          <w:lang w:val="es-ES_tradnl" w:eastAsia="es-ES"/>
        </w:rPr>
        <w:t>n</w:t>
      </w:r>
      <w:r w:rsidR="003676F3" w:rsidRPr="008B0E49">
        <w:rPr>
          <w:rFonts w:ascii="Calibri" w:eastAsia="Times New Roman" w:hAnsi="Calibri" w:cs="Times New Roman"/>
          <w:color w:val="000000"/>
          <w:lang w:val="es-ES_tradnl" w:eastAsia="es-ES"/>
        </w:rPr>
        <w:t> </w:t>
      </w:r>
      <w:r w:rsidR="003676F3" w:rsidRPr="008B0E49">
        <w:rPr>
          <w:rFonts w:ascii="Arial" w:eastAsia="Times New Roman" w:hAnsi="Arial" w:cs="Arial"/>
          <w:color w:val="000000"/>
          <w:sz w:val="20"/>
          <w:szCs w:val="20"/>
          <w:lang w:val="es-ES_tradnl" w:eastAsia="es-ES"/>
        </w:rPr>
        <w:t>energética</w:t>
      </w:r>
      <w:r w:rsidRPr="008B0E49">
        <w:rPr>
          <w:rFonts w:ascii="Arial" w:eastAsia="Times New Roman" w:hAnsi="Arial" w:cs="Arial"/>
          <w:color w:val="000000"/>
          <w:sz w:val="20"/>
          <w:szCs w:val="20"/>
          <w:lang w:val="es-ES_tradnl" w:eastAsia="es-ES"/>
        </w:rPr>
        <w:t>.</w:t>
      </w:r>
    </w:p>
    <w:p w14:paraId="093C0187" w14:textId="0AC3214A" w:rsidR="008B0E49" w:rsidRPr="008B0E49" w:rsidRDefault="008B0E49" w:rsidP="008B0E49">
      <w:pPr>
        <w:numPr>
          <w:ilvl w:val="0"/>
          <w:numId w:val="11"/>
        </w:numPr>
        <w:spacing w:before="100" w:beforeAutospacing="1" w:line="260" w:lineRule="atLeast"/>
        <w:ind w:firstLine="0"/>
        <w:rPr>
          <w:rFonts w:ascii="Calibri" w:eastAsia="Times New Roman" w:hAnsi="Calibri" w:cs="Times New Roman"/>
          <w:color w:val="000000"/>
          <w:lang w:val="es-ES_tradnl" w:eastAsia="es-ES"/>
        </w:rPr>
      </w:pPr>
      <w:r w:rsidRPr="008B0E49">
        <w:rPr>
          <w:rFonts w:ascii="Arial" w:eastAsia="Times New Roman" w:hAnsi="Arial" w:cs="Arial"/>
          <w:color w:val="000000"/>
          <w:sz w:val="20"/>
          <w:szCs w:val="20"/>
          <w:lang w:val="es-ES_tradnl" w:eastAsia="es-ES"/>
        </w:rPr>
        <w:t>Los vertederos s</w:t>
      </w:r>
      <w:r w:rsidR="003676F3">
        <w:rPr>
          <w:rFonts w:ascii="Calibri" w:eastAsia="Times New Roman" w:hAnsi="Calibri" w:cs="Times New Roman"/>
          <w:color w:val="000000"/>
          <w:lang w:val="es-ES_tradnl" w:eastAsia="es-ES"/>
        </w:rPr>
        <w:t>o</w:t>
      </w:r>
      <w:r w:rsidRPr="008B0E49">
        <w:rPr>
          <w:rFonts w:ascii="Arial" w:eastAsia="Times New Roman" w:hAnsi="Arial" w:cs="Arial"/>
          <w:color w:val="000000"/>
          <w:sz w:val="20"/>
          <w:szCs w:val="20"/>
          <w:lang w:val="es-ES_tradnl" w:eastAsia="es-ES"/>
        </w:rPr>
        <w:t>n pasivos que dejamos en el territorio.</w:t>
      </w:r>
    </w:p>
    <w:p w14:paraId="5E13587B"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Ojalá, con las políticas de prevención, minimización, reutilización y valorización material se puedan alcanzar niveles muy altos de reducción de la valorización energética.</w:t>
      </w:r>
    </w:p>
    <w:p w14:paraId="27365F9C"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Ojalá las plantas de valorización energética, en el futuro, traten sólo las fracciones de rechazo de los procesos de valorización material (dado el 2º Principio de la Termodinámica</w:t>
      </w:r>
      <w:r w:rsidRPr="008B0E49">
        <w:rPr>
          <w:rFonts w:ascii="Calibri" w:hAnsi="Calibri" w:cs="Times New Roman"/>
          <w:color w:val="000000"/>
          <w:lang w:val="es-ES_tradnl" w:eastAsia="es-ES"/>
        </w:rPr>
        <w:t> </w:t>
      </w:r>
      <w:hyperlink r:id="rId11" w:anchor="footnote2" w:history="1">
        <w:r w:rsidRPr="008B0E49">
          <w:rPr>
            <w:rFonts w:ascii="Arial" w:hAnsi="Arial" w:cs="Arial"/>
            <w:color w:val="0000FF"/>
            <w:sz w:val="20"/>
            <w:szCs w:val="20"/>
            <w:u w:val="single"/>
            <w:vertAlign w:val="superscript"/>
            <w:lang w:val="es-ES_tradnl" w:eastAsia="es-ES"/>
          </w:rPr>
          <w:t>2</w:t>
        </w:r>
      </w:hyperlink>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 con una aplicación estricta de la jerarquía de gestión de los residuos.</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Ojalá la ECONOMÍA CIRCULAR fuera hoy una realidad, pero hay materiales procedentes de los residuos que no tienen suficiente demanda (uso útil al que alude la Directiva 2008, antes mencionada, cuando define la valorización).</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Asimismo, existirán rechazos de los procesos de reciclaje, materiales que pierden sus propiedades después de X ciclos de reciclaje (plásticos y papel especialmente), materiales de calidad insuficiente para su reciclaje, tóxicos contenidos en los materiales que deben salir del ciclo, materiales con un balance ambiental negativo para su reciclaje, etc.</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que deberán ir a valorización energética antes de que al vertedero.</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En este sentido la valorización energética debe asumir que forma, o formará, parte también de la Economía Circular.</w:t>
      </w:r>
    </w:p>
    <w:p w14:paraId="6BFEB4AB"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Ojalá en el futuro podamos emplear las plantas de valorización material para afrontar la limpieza de los pasivos que hemos ido dejando en el territorio (vertederos antiguos, considerados como depósitos de materiales valorizables material y energéticamente).</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Es dice minería de los residuos </w:t>
      </w:r>
      <w:r w:rsidRPr="008B0E49">
        <w:rPr>
          <w:rFonts w:ascii="Arial" w:hAnsi="Arial" w:cs="Arial"/>
          <w:i/>
          <w:iCs/>
          <w:color w:val="000000"/>
          <w:sz w:val="20"/>
          <w:szCs w:val="20"/>
          <w:lang w:val="es-ES_tradnl" w:eastAsia="es-ES"/>
        </w:rPr>
        <w:t>(</w:t>
      </w:r>
      <w:proofErr w:type="spellStart"/>
      <w:r w:rsidRPr="008B0E49">
        <w:rPr>
          <w:rFonts w:ascii="Arial" w:hAnsi="Arial" w:cs="Arial"/>
          <w:i/>
          <w:iCs/>
          <w:color w:val="000000"/>
          <w:sz w:val="20"/>
          <w:szCs w:val="20"/>
          <w:lang w:val="es-ES_tradnl" w:eastAsia="es-ES"/>
        </w:rPr>
        <w:t>Landfill</w:t>
      </w:r>
      <w:proofErr w:type="spellEnd"/>
      <w:r w:rsidRPr="008B0E49">
        <w:rPr>
          <w:rFonts w:ascii="Arial" w:hAnsi="Arial" w:cs="Arial"/>
          <w:i/>
          <w:iCs/>
          <w:color w:val="000000"/>
          <w:sz w:val="20"/>
          <w:szCs w:val="20"/>
          <w:lang w:val="es-ES_tradnl" w:eastAsia="es-ES"/>
        </w:rPr>
        <w:t xml:space="preserve"> </w:t>
      </w:r>
      <w:proofErr w:type="spellStart"/>
      <w:r w:rsidRPr="008B0E49">
        <w:rPr>
          <w:rFonts w:ascii="Arial" w:hAnsi="Arial" w:cs="Arial"/>
          <w:i/>
          <w:iCs/>
          <w:color w:val="000000"/>
          <w:sz w:val="20"/>
          <w:szCs w:val="20"/>
          <w:lang w:val="es-ES_tradnl" w:eastAsia="es-ES"/>
        </w:rPr>
        <w:t>mining</w:t>
      </w:r>
      <w:proofErr w:type="spellEnd"/>
      <w:r w:rsidRPr="008B0E49">
        <w:rPr>
          <w:rFonts w:ascii="Arial" w:hAnsi="Arial" w:cs="Arial"/>
          <w:i/>
          <w:iCs/>
          <w:color w:val="000000"/>
          <w:sz w:val="20"/>
          <w:szCs w:val="20"/>
          <w:lang w:val="es-ES_tradnl" w:eastAsia="es-ES"/>
        </w:rPr>
        <w:t>)</w:t>
      </w:r>
      <w:r w:rsidRPr="008B0E49">
        <w:rPr>
          <w:rFonts w:ascii="Arial" w:hAnsi="Arial" w:cs="Arial"/>
          <w:color w:val="000000"/>
          <w:sz w:val="20"/>
          <w:szCs w:val="20"/>
          <w:lang w:val="es-ES_tradnl" w:eastAsia="es-ES"/>
        </w:rPr>
        <w:t> y hay diferentes experiencias.</w:t>
      </w:r>
    </w:p>
    <w:p w14:paraId="2565EB86" w14:textId="77777777" w:rsidR="008B0E49" w:rsidRPr="008B0E49" w:rsidRDefault="008B0E49" w:rsidP="008B0E49">
      <w:pPr>
        <w:spacing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Ojalá el debate fuera ambientalista, sin prejuicios ni dogmatismos.</w:t>
      </w:r>
      <w:r w:rsidRPr="008B0E49">
        <w:rPr>
          <w:rFonts w:ascii="Calibri" w:hAnsi="Calibri" w:cs="Times New Roman"/>
          <w:color w:val="000000"/>
          <w:lang w:val="es-ES_tradnl" w:eastAsia="es-ES"/>
        </w:rPr>
        <w:t> </w:t>
      </w:r>
      <w:r w:rsidRPr="008B0E49">
        <w:rPr>
          <w:rFonts w:ascii="Arial" w:hAnsi="Arial" w:cs="Arial"/>
          <w:color w:val="000000"/>
          <w:sz w:val="20"/>
          <w:szCs w:val="20"/>
          <w:lang w:val="es-ES_tradnl" w:eastAsia="es-ES"/>
        </w:rPr>
        <w:t>Un debate fundamentado sobre la base de la ciencia, en las mejores tecnologías disponibles, en el conocimiento de la realidad y de las experiencias europeas de sociedades con una gran y larga tradición de concienciación ambiental.</w:t>
      </w:r>
    </w:p>
    <w:p w14:paraId="520940A1" w14:textId="58DC3A68" w:rsidR="008B0E49" w:rsidRPr="008B0E49" w:rsidRDefault="008B0E49" w:rsidP="008B0E49">
      <w:pPr>
        <w:spacing w:after="0" w:line="260" w:lineRule="atLeast"/>
        <w:rPr>
          <w:rFonts w:ascii="Calibri" w:hAnsi="Calibri" w:cs="Times New Roman"/>
          <w:color w:val="000000"/>
          <w:lang w:val="es-ES_tradnl" w:eastAsia="es-ES"/>
        </w:rPr>
      </w:pPr>
      <w:r w:rsidRPr="008B0E49">
        <w:rPr>
          <w:rFonts w:ascii="Arial" w:hAnsi="Arial" w:cs="Arial"/>
          <w:b/>
          <w:bCs/>
          <w:color w:val="000000"/>
          <w:sz w:val="20"/>
          <w:szCs w:val="20"/>
          <w:lang w:val="es-ES_tradnl" w:eastAsia="es-ES"/>
        </w:rPr>
        <w:t xml:space="preserve">Armengol </w:t>
      </w:r>
      <w:r w:rsidR="003676F3">
        <w:rPr>
          <w:rFonts w:ascii="Arial" w:hAnsi="Arial" w:cs="Arial"/>
          <w:b/>
          <w:bCs/>
          <w:color w:val="000000"/>
          <w:sz w:val="20"/>
          <w:szCs w:val="20"/>
          <w:lang w:val="es-ES_tradnl" w:eastAsia="es-ES"/>
        </w:rPr>
        <w:t>Grau</w:t>
      </w:r>
      <w:r w:rsidRPr="008B0E49">
        <w:rPr>
          <w:rFonts w:ascii="Arial" w:hAnsi="Arial" w:cs="Arial"/>
          <w:b/>
          <w:bCs/>
          <w:color w:val="000000"/>
          <w:sz w:val="20"/>
          <w:szCs w:val="20"/>
          <w:lang w:val="es-ES_tradnl" w:eastAsia="es-ES"/>
        </w:rPr>
        <w:t xml:space="preserve"> </w:t>
      </w:r>
      <w:proofErr w:type="spellStart"/>
      <w:r w:rsidRPr="008B0E49">
        <w:rPr>
          <w:rFonts w:ascii="Arial" w:hAnsi="Arial" w:cs="Arial"/>
          <w:b/>
          <w:bCs/>
          <w:color w:val="000000"/>
          <w:sz w:val="20"/>
          <w:szCs w:val="20"/>
          <w:lang w:val="es-ES_tradnl" w:eastAsia="es-ES"/>
        </w:rPr>
        <w:t>Franquet</w:t>
      </w:r>
      <w:proofErr w:type="spellEnd"/>
    </w:p>
    <w:p w14:paraId="48014F3B" w14:textId="77777777" w:rsidR="008B0E49" w:rsidRPr="008B0E49" w:rsidRDefault="008B0E49" w:rsidP="008B0E49">
      <w:pPr>
        <w:spacing w:after="0" w:line="260" w:lineRule="atLeast"/>
        <w:rPr>
          <w:rFonts w:ascii="Calibri" w:hAnsi="Calibri" w:cs="Times New Roman"/>
          <w:color w:val="000000"/>
          <w:lang w:val="es-ES_tradnl" w:eastAsia="es-ES"/>
        </w:rPr>
      </w:pPr>
      <w:r w:rsidRPr="008B0E49">
        <w:rPr>
          <w:rFonts w:ascii="Arial" w:hAnsi="Arial" w:cs="Arial"/>
          <w:color w:val="000000"/>
          <w:sz w:val="20"/>
          <w:szCs w:val="20"/>
          <w:lang w:val="es-ES_tradnl" w:eastAsia="es-ES"/>
        </w:rPr>
        <w:t xml:space="preserve">Gerente </w:t>
      </w:r>
      <w:proofErr w:type="spellStart"/>
      <w:r w:rsidRPr="008B0E49">
        <w:rPr>
          <w:rFonts w:ascii="Arial" w:hAnsi="Arial" w:cs="Arial"/>
          <w:color w:val="000000"/>
          <w:sz w:val="20"/>
          <w:szCs w:val="20"/>
          <w:lang w:val="es-ES_tradnl" w:eastAsia="es-ES"/>
        </w:rPr>
        <w:t>SIRUSA</w:t>
      </w:r>
      <w:proofErr w:type="spellEnd"/>
    </w:p>
    <w:p w14:paraId="7549761A" w14:textId="77777777" w:rsidR="008B0E49" w:rsidRPr="008B0E49" w:rsidRDefault="008B0E49" w:rsidP="008B0E49">
      <w:pPr>
        <w:spacing w:after="0" w:line="260" w:lineRule="atLeast"/>
        <w:ind w:left="700"/>
        <w:rPr>
          <w:rFonts w:ascii="Calibri" w:hAnsi="Calibri" w:cs="Times New Roman"/>
          <w:color w:val="000000"/>
          <w:lang w:val="es-ES_tradnl" w:eastAsia="es-ES"/>
        </w:rPr>
      </w:pPr>
      <w:proofErr w:type="spellStart"/>
      <w:r w:rsidRPr="008B0E49">
        <w:rPr>
          <w:rFonts w:ascii="Calibri" w:hAnsi="Calibri" w:cs="Times New Roman"/>
          <w:color w:val="000000"/>
          <w:sz w:val="18"/>
          <w:szCs w:val="18"/>
          <w:lang w:val="es-ES_tradnl" w:eastAsia="es-ES"/>
        </w:rPr>
        <w:t>SIRUSA</w:t>
      </w:r>
      <w:proofErr w:type="spellEnd"/>
      <w:r w:rsidRPr="008B0E49">
        <w:rPr>
          <w:rFonts w:ascii="Calibri" w:hAnsi="Calibri" w:cs="Times New Roman"/>
          <w:color w:val="000000"/>
          <w:sz w:val="18"/>
          <w:szCs w:val="18"/>
          <w:lang w:val="es-ES_tradnl" w:eastAsia="es-ES"/>
        </w:rPr>
        <w:t xml:space="preserve"> (Servicio de Incineración de los Residuos Urbanos, </w:t>
      </w:r>
      <w:proofErr w:type="spellStart"/>
      <w:r w:rsidRPr="008B0E49">
        <w:rPr>
          <w:rFonts w:ascii="Calibri" w:hAnsi="Calibri" w:cs="Times New Roman"/>
          <w:color w:val="000000"/>
          <w:sz w:val="18"/>
          <w:szCs w:val="18"/>
          <w:lang w:val="es-ES_tradnl" w:eastAsia="es-ES"/>
        </w:rPr>
        <w:t>SA</w:t>
      </w:r>
      <w:proofErr w:type="spellEnd"/>
      <w:r w:rsidRPr="008B0E49">
        <w:rPr>
          <w:rFonts w:ascii="Calibri" w:hAnsi="Calibri" w:cs="Times New Roman"/>
          <w:color w:val="000000"/>
          <w:sz w:val="18"/>
          <w:szCs w:val="18"/>
          <w:lang w:val="es-ES_tradnl" w:eastAsia="es-ES"/>
        </w:rPr>
        <w:t xml:space="preserve">), es la empresa creada en 1989 por la Mancomunidad, que integran los municipios de Tarragona, Reus, Valls, </w:t>
      </w:r>
      <w:proofErr w:type="spellStart"/>
      <w:r w:rsidRPr="008B0E49">
        <w:rPr>
          <w:rFonts w:ascii="Calibri" w:hAnsi="Calibri" w:cs="Times New Roman"/>
          <w:color w:val="000000"/>
          <w:sz w:val="18"/>
          <w:szCs w:val="18"/>
          <w:lang w:val="es-ES_tradnl" w:eastAsia="es-ES"/>
        </w:rPr>
        <w:t>Cambrils</w:t>
      </w:r>
      <w:proofErr w:type="spellEnd"/>
      <w:r w:rsidRPr="008B0E49">
        <w:rPr>
          <w:rFonts w:ascii="Calibri" w:hAnsi="Calibri" w:cs="Times New Roman"/>
          <w:color w:val="000000"/>
          <w:sz w:val="18"/>
          <w:szCs w:val="18"/>
          <w:lang w:val="es-ES_tradnl" w:eastAsia="es-ES"/>
        </w:rPr>
        <w:t xml:space="preserve">, Salou, Vila-seca, </w:t>
      </w:r>
      <w:proofErr w:type="spellStart"/>
      <w:r w:rsidRPr="008B0E49">
        <w:rPr>
          <w:rFonts w:ascii="Calibri" w:hAnsi="Calibri" w:cs="Times New Roman"/>
          <w:color w:val="000000"/>
          <w:sz w:val="18"/>
          <w:szCs w:val="18"/>
          <w:lang w:val="es-ES_tradnl" w:eastAsia="es-ES"/>
        </w:rPr>
        <w:t>Constantí</w:t>
      </w:r>
      <w:proofErr w:type="spellEnd"/>
      <w:r w:rsidRPr="008B0E49">
        <w:rPr>
          <w:rFonts w:ascii="Calibri" w:hAnsi="Calibri" w:cs="Times New Roman"/>
          <w:color w:val="000000"/>
          <w:sz w:val="18"/>
          <w:szCs w:val="18"/>
          <w:lang w:val="es-ES_tradnl" w:eastAsia="es-ES"/>
        </w:rPr>
        <w:t xml:space="preserve"> y La </w:t>
      </w:r>
      <w:proofErr w:type="spellStart"/>
      <w:r w:rsidRPr="008B0E49">
        <w:rPr>
          <w:rFonts w:ascii="Calibri" w:hAnsi="Calibri" w:cs="Times New Roman"/>
          <w:color w:val="000000"/>
          <w:sz w:val="18"/>
          <w:szCs w:val="18"/>
          <w:lang w:val="es-ES_tradnl" w:eastAsia="es-ES"/>
        </w:rPr>
        <w:t>Canonja</w:t>
      </w:r>
      <w:proofErr w:type="spellEnd"/>
      <w:r w:rsidRPr="008B0E49">
        <w:rPr>
          <w:rFonts w:ascii="Calibri" w:hAnsi="Calibri" w:cs="Times New Roman"/>
          <w:color w:val="000000"/>
          <w:sz w:val="18"/>
          <w:szCs w:val="18"/>
          <w:lang w:val="es-ES_tradnl" w:eastAsia="es-ES"/>
        </w:rPr>
        <w:t>, para explotar las instalaciones de la planta de Valorización Energética del Camp de Tarragona;</w:t>
      </w:r>
      <w:r w:rsidRPr="008B0E49">
        <w:rPr>
          <w:rFonts w:ascii="Calibri" w:hAnsi="Calibri" w:cs="Times New Roman"/>
          <w:color w:val="000000"/>
          <w:lang w:val="es-ES_tradnl" w:eastAsia="es-ES"/>
        </w:rPr>
        <w:t> </w:t>
      </w:r>
      <w:r w:rsidRPr="008B0E49">
        <w:rPr>
          <w:rFonts w:ascii="Calibri" w:hAnsi="Calibri" w:cs="Times New Roman"/>
          <w:color w:val="000000"/>
          <w:sz w:val="18"/>
          <w:szCs w:val="18"/>
          <w:lang w:val="es-ES_tradnl" w:eastAsia="es-ES"/>
        </w:rPr>
        <w:t>cuenta con la participación del Instituto catalán de la Energía (</w:t>
      </w:r>
      <w:proofErr w:type="spellStart"/>
      <w:r w:rsidRPr="008B0E49">
        <w:rPr>
          <w:rFonts w:ascii="Calibri" w:hAnsi="Calibri" w:cs="Times New Roman"/>
          <w:color w:val="000000"/>
          <w:sz w:val="18"/>
          <w:szCs w:val="18"/>
          <w:lang w:val="es-ES_tradnl" w:eastAsia="es-ES"/>
        </w:rPr>
        <w:t>ICAEN</w:t>
      </w:r>
      <w:proofErr w:type="spellEnd"/>
      <w:r w:rsidRPr="008B0E49">
        <w:rPr>
          <w:rFonts w:ascii="Calibri" w:hAnsi="Calibri" w:cs="Times New Roman"/>
          <w:color w:val="000000"/>
          <w:sz w:val="18"/>
          <w:szCs w:val="18"/>
          <w:lang w:val="es-ES_tradnl" w:eastAsia="es-ES"/>
        </w:rPr>
        <w:t>).</w:t>
      </w:r>
    </w:p>
    <w:p w14:paraId="1E44C453" w14:textId="77777777" w:rsidR="008B0E49" w:rsidRDefault="008B0E49" w:rsidP="008B0E49">
      <w:pPr>
        <w:spacing w:after="0" w:line="260" w:lineRule="atLeast"/>
        <w:ind w:left="700"/>
        <w:rPr>
          <w:rFonts w:ascii="Calibri" w:hAnsi="Calibri" w:cs="Times New Roman"/>
          <w:color w:val="000000"/>
          <w:sz w:val="18"/>
          <w:szCs w:val="18"/>
          <w:lang w:val="es-ES_tradnl" w:eastAsia="es-ES"/>
        </w:rPr>
      </w:pPr>
      <w:proofErr w:type="spellStart"/>
      <w:r w:rsidRPr="008B0E49">
        <w:rPr>
          <w:rFonts w:ascii="Calibri" w:hAnsi="Calibri" w:cs="Times New Roman"/>
          <w:color w:val="000000"/>
          <w:sz w:val="18"/>
          <w:szCs w:val="18"/>
          <w:lang w:val="es-ES_tradnl" w:eastAsia="es-ES"/>
        </w:rPr>
        <w:t>SIRUSA</w:t>
      </w:r>
      <w:proofErr w:type="spellEnd"/>
      <w:r w:rsidRPr="008B0E49">
        <w:rPr>
          <w:rFonts w:ascii="Calibri" w:hAnsi="Calibri" w:cs="Times New Roman"/>
          <w:color w:val="000000"/>
          <w:sz w:val="18"/>
          <w:szCs w:val="18"/>
          <w:lang w:val="es-ES_tradnl" w:eastAsia="es-ES"/>
        </w:rPr>
        <w:t xml:space="preserve"> es miembro de la Asociación Catalana de Empresas de Valorización Energética</w:t>
      </w:r>
      <w:r w:rsidRPr="008B0E49">
        <w:rPr>
          <w:rFonts w:ascii="Calibri" w:hAnsi="Calibri" w:cs="Times New Roman"/>
          <w:color w:val="000000"/>
          <w:lang w:val="es-ES_tradnl" w:eastAsia="es-ES"/>
        </w:rPr>
        <w:t> </w:t>
      </w:r>
      <w:r w:rsidRPr="008B0E49">
        <w:rPr>
          <w:rFonts w:ascii="Calibri" w:hAnsi="Calibri" w:cs="Times New Roman"/>
          <w:color w:val="000000"/>
          <w:sz w:val="18"/>
          <w:szCs w:val="18"/>
          <w:lang w:val="es-ES_tradnl" w:eastAsia="es-ES"/>
        </w:rPr>
        <w:t>de Residuos Urbanos</w:t>
      </w:r>
      <w:r w:rsidRPr="008B0E49">
        <w:rPr>
          <w:rFonts w:ascii="Calibri" w:hAnsi="Calibri" w:cs="Times New Roman"/>
          <w:color w:val="000000"/>
          <w:lang w:val="es-ES_tradnl" w:eastAsia="es-ES"/>
        </w:rPr>
        <w:t> </w:t>
      </w:r>
      <w:r w:rsidRPr="008B0E49">
        <w:rPr>
          <w:rFonts w:ascii="Calibri" w:hAnsi="Calibri" w:cs="Times New Roman"/>
          <w:color w:val="000000"/>
          <w:sz w:val="18"/>
          <w:szCs w:val="18"/>
          <w:lang w:val="es-ES_tradnl" w:eastAsia="es-ES"/>
        </w:rPr>
        <w:t>(</w:t>
      </w:r>
      <w:proofErr w:type="spellStart"/>
      <w:r w:rsidRPr="008B0E49">
        <w:rPr>
          <w:rFonts w:ascii="Calibri" w:hAnsi="Calibri" w:cs="Times New Roman"/>
          <w:color w:val="000000"/>
          <w:sz w:val="18"/>
          <w:szCs w:val="18"/>
          <w:lang w:val="es-ES_tradnl" w:eastAsia="es-ES"/>
        </w:rPr>
        <w:t>ACEVERSU</w:t>
      </w:r>
      <w:proofErr w:type="spellEnd"/>
      <w:r w:rsidRPr="008B0E49">
        <w:rPr>
          <w:rFonts w:ascii="Calibri" w:hAnsi="Calibri" w:cs="Times New Roman"/>
          <w:color w:val="000000"/>
          <w:sz w:val="18"/>
          <w:szCs w:val="18"/>
          <w:lang w:val="es-ES_tradnl" w:eastAsia="es-ES"/>
        </w:rPr>
        <w:t>) y de </w:t>
      </w:r>
      <w:r w:rsidRPr="008B0E49">
        <w:rPr>
          <w:rFonts w:ascii="Calibri" w:hAnsi="Calibri" w:cs="Times New Roman"/>
          <w:i/>
          <w:iCs/>
          <w:color w:val="000000"/>
          <w:sz w:val="18"/>
          <w:szCs w:val="18"/>
          <w:lang w:val="es-ES_tradnl" w:eastAsia="es-ES"/>
        </w:rPr>
        <w:t>la</w:t>
      </w:r>
      <w:r w:rsidRPr="008B0E49">
        <w:rPr>
          <w:rFonts w:ascii="Calibri" w:hAnsi="Calibri" w:cs="Times New Roman"/>
          <w:color w:val="000000"/>
          <w:lang w:val="es-ES_tradnl" w:eastAsia="es-ES"/>
        </w:rPr>
        <w:t> </w:t>
      </w:r>
      <w:r w:rsidRPr="008B0E49">
        <w:rPr>
          <w:rFonts w:ascii="Calibri" w:hAnsi="Calibri" w:cs="Times New Roman"/>
          <w:i/>
          <w:iCs/>
          <w:color w:val="000000"/>
          <w:sz w:val="18"/>
          <w:szCs w:val="18"/>
          <w:lang w:val="es-ES_tradnl" w:eastAsia="es-ES"/>
        </w:rPr>
        <w:t>Asociación de Empresas de Valorización Energética de Residuos Urbanos</w:t>
      </w:r>
      <w:r w:rsidRPr="008B0E49">
        <w:rPr>
          <w:rFonts w:ascii="Calibri" w:hAnsi="Calibri" w:cs="Times New Roman"/>
          <w:color w:val="000000"/>
          <w:lang w:val="es-ES_tradnl" w:eastAsia="es-ES"/>
        </w:rPr>
        <w:t> </w:t>
      </w:r>
      <w:r w:rsidRPr="008B0E49">
        <w:rPr>
          <w:rFonts w:ascii="Calibri" w:hAnsi="Calibri" w:cs="Times New Roman"/>
          <w:b/>
          <w:bCs/>
          <w:color w:val="000000"/>
          <w:sz w:val="18"/>
          <w:szCs w:val="18"/>
          <w:lang w:val="es-ES_tradnl" w:eastAsia="es-ES"/>
        </w:rPr>
        <w:t>(</w:t>
      </w:r>
      <w:proofErr w:type="spellStart"/>
      <w:r w:rsidRPr="008B0E49">
        <w:rPr>
          <w:rFonts w:ascii="Calibri" w:hAnsi="Calibri" w:cs="Times New Roman"/>
          <w:b/>
          <w:bCs/>
          <w:color w:val="000000"/>
          <w:sz w:val="18"/>
          <w:szCs w:val="18"/>
          <w:lang w:val="es-ES_tradnl" w:eastAsia="es-ES"/>
        </w:rPr>
        <w:t>AEVERSU</w:t>
      </w:r>
      <w:proofErr w:type="spellEnd"/>
      <w:r w:rsidRPr="008B0E49">
        <w:rPr>
          <w:rFonts w:ascii="Calibri" w:hAnsi="Calibri" w:cs="Times New Roman"/>
          <w:b/>
          <w:bCs/>
          <w:color w:val="000000"/>
          <w:sz w:val="18"/>
          <w:szCs w:val="18"/>
          <w:lang w:val="es-ES_tradnl" w:eastAsia="es-ES"/>
        </w:rPr>
        <w:t>),</w:t>
      </w:r>
      <w:r w:rsidRPr="008B0E49">
        <w:rPr>
          <w:rFonts w:ascii="Calibri" w:hAnsi="Calibri" w:cs="Times New Roman"/>
          <w:color w:val="000000"/>
          <w:sz w:val="18"/>
          <w:szCs w:val="18"/>
          <w:lang w:val="es-ES_tradnl" w:eastAsia="es-ES"/>
        </w:rPr>
        <w:t xml:space="preserve"> ya través de ésta, forma parte de </w:t>
      </w:r>
      <w:proofErr w:type="spellStart"/>
      <w:r w:rsidRPr="008B0E49">
        <w:rPr>
          <w:rFonts w:ascii="Calibri" w:hAnsi="Calibri" w:cs="Times New Roman"/>
          <w:color w:val="000000"/>
          <w:sz w:val="18"/>
          <w:szCs w:val="18"/>
          <w:lang w:val="es-ES_tradnl" w:eastAsia="es-ES"/>
        </w:rPr>
        <w:t>CEWEP</w:t>
      </w:r>
      <w:proofErr w:type="spellEnd"/>
      <w:r w:rsidRPr="008B0E49">
        <w:rPr>
          <w:rFonts w:ascii="Calibri" w:hAnsi="Calibri" w:cs="Times New Roman"/>
          <w:color w:val="000000"/>
          <w:sz w:val="18"/>
          <w:szCs w:val="18"/>
          <w:lang w:val="es-ES_tradnl" w:eastAsia="es-ES"/>
        </w:rPr>
        <w:t>, la</w:t>
      </w:r>
      <w:r w:rsidRPr="008B0E49">
        <w:rPr>
          <w:rFonts w:ascii="Calibri" w:hAnsi="Calibri" w:cs="Times New Roman"/>
          <w:color w:val="000000"/>
          <w:lang w:val="es-ES_tradnl" w:eastAsia="es-ES"/>
        </w:rPr>
        <w:t> </w:t>
      </w:r>
      <w:r w:rsidRPr="008B0E49">
        <w:rPr>
          <w:rFonts w:ascii="Calibri" w:hAnsi="Calibri" w:cs="Times New Roman"/>
          <w:color w:val="000000"/>
          <w:sz w:val="18"/>
          <w:szCs w:val="18"/>
          <w:lang w:val="es-ES_tradnl" w:eastAsia="es-ES"/>
        </w:rPr>
        <w:t>Confederación Europea de plantas de Recuperación Energética de Residuos.</w:t>
      </w:r>
    </w:p>
    <w:p w14:paraId="25147DF6" w14:textId="77777777" w:rsidR="003676F3" w:rsidRPr="008B0E49" w:rsidRDefault="003676F3" w:rsidP="008B0E49">
      <w:pPr>
        <w:spacing w:after="0" w:line="260" w:lineRule="atLeast"/>
        <w:ind w:left="700"/>
        <w:rPr>
          <w:rFonts w:ascii="Calibri" w:hAnsi="Calibri" w:cs="Times New Roman"/>
          <w:color w:val="000000"/>
          <w:lang w:val="es-ES_tradnl" w:eastAsia="es-ES"/>
        </w:rPr>
      </w:pPr>
    </w:p>
    <w:p w14:paraId="4F2C67D0" w14:textId="77777777" w:rsidR="008B0E49" w:rsidRPr="008B0E49" w:rsidRDefault="008B0E49" w:rsidP="008B0E49">
      <w:pPr>
        <w:spacing w:after="0" w:line="240" w:lineRule="atLeast"/>
        <w:rPr>
          <w:rFonts w:ascii="Calibri" w:hAnsi="Calibri" w:cs="Times New Roman"/>
          <w:sz w:val="20"/>
          <w:szCs w:val="20"/>
          <w:lang w:val="es-ES_tradnl" w:eastAsia="es-ES"/>
        </w:rPr>
      </w:pPr>
      <w:bookmarkStart w:id="2" w:name="footnote1"/>
      <w:bookmarkEnd w:id="2"/>
      <w:r w:rsidRPr="008B0E49">
        <w:rPr>
          <w:rFonts w:ascii="Calibri" w:hAnsi="Calibri" w:cs="Times New Roman"/>
          <w:sz w:val="15"/>
          <w:szCs w:val="15"/>
          <w:vertAlign w:val="superscript"/>
          <w:lang w:val="es-ES_tradnl" w:eastAsia="es-ES"/>
        </w:rPr>
        <w:t>1</w:t>
      </w:r>
      <w:r w:rsidRPr="008B0E49">
        <w:rPr>
          <w:rFonts w:ascii="Calibri" w:hAnsi="Calibri" w:cs="Times New Roman"/>
          <w:sz w:val="20"/>
          <w:szCs w:val="20"/>
          <w:lang w:val="es-ES_tradnl" w:eastAsia="es-ES"/>
        </w:rPr>
        <w:t> La transposición de la Directiva al ordenamiento jurídico español se realizó a través de la Ley 22/2011, de 28 de julio, de residuos y suelos contaminados, lo recoge en su artículo 8 la jerarquía de gestión establecida a nivel europeo :</w:t>
      </w:r>
    </w:p>
    <w:p w14:paraId="75977139" w14:textId="77777777" w:rsidR="008B0E49" w:rsidRPr="008B0E49" w:rsidRDefault="008B0E49" w:rsidP="008B0E49">
      <w:pPr>
        <w:spacing w:after="0" w:line="240" w:lineRule="atLeast"/>
        <w:rPr>
          <w:rFonts w:ascii="Calibri" w:hAnsi="Calibri" w:cs="Times New Roman"/>
          <w:sz w:val="20"/>
          <w:szCs w:val="20"/>
          <w:lang w:val="es-ES_tradnl" w:eastAsia="es-ES"/>
        </w:rPr>
      </w:pPr>
      <w:r w:rsidRPr="008B0E49">
        <w:rPr>
          <w:rFonts w:ascii="Calibri" w:hAnsi="Calibri" w:cs="Times New Roman"/>
          <w:sz w:val="20"/>
          <w:szCs w:val="20"/>
          <w:lang w:val="es-ES_tradnl" w:eastAsia="es-ES"/>
        </w:rPr>
        <w:t xml:space="preserve">"Las administraciones competentes, en el desarrollo de las políticas y de la legislación en materia de prevención y gestión de residuos, aplicarán para conseguir el mejor resultado ambiental global, la jerarquía de residuos por el </w:t>
      </w:r>
      <w:r w:rsidRPr="008B0E49">
        <w:rPr>
          <w:rFonts w:ascii="Calibri" w:hAnsi="Calibri" w:cs="Times New Roman"/>
          <w:sz w:val="20"/>
          <w:szCs w:val="20"/>
          <w:lang w:val="es-ES_tradnl" w:eastAsia="es-ES"/>
        </w:rPr>
        <w:lastRenderedPageBreak/>
        <w:t>siguiente orden de prioridad: a) Prevención; b) Preparación para la reutilización; c) Reciclaje; d) Otro tipo de valorización, incluida la valorización energética; ye) Eliminación. "</w:t>
      </w:r>
    </w:p>
    <w:p w14:paraId="4DDF8FAB" w14:textId="77777777" w:rsidR="008B0E49" w:rsidRPr="008B0E49" w:rsidRDefault="008B0E49" w:rsidP="008B0E49">
      <w:pPr>
        <w:spacing w:after="0" w:line="240" w:lineRule="atLeast"/>
        <w:rPr>
          <w:rFonts w:ascii="Calibri" w:hAnsi="Calibri" w:cs="Times New Roman"/>
          <w:sz w:val="20"/>
          <w:szCs w:val="20"/>
          <w:lang w:val="es-ES_tradnl" w:eastAsia="es-ES"/>
        </w:rPr>
      </w:pPr>
      <w:bookmarkStart w:id="3" w:name="footnote2"/>
      <w:bookmarkEnd w:id="3"/>
      <w:r w:rsidRPr="008B0E49">
        <w:rPr>
          <w:rFonts w:ascii="Calibri" w:hAnsi="Calibri" w:cs="Times New Roman"/>
          <w:sz w:val="15"/>
          <w:szCs w:val="15"/>
          <w:vertAlign w:val="superscript"/>
          <w:lang w:val="es-ES_tradnl" w:eastAsia="es-ES"/>
        </w:rPr>
        <w:t>2</w:t>
      </w:r>
      <w:r w:rsidRPr="008B0E49">
        <w:rPr>
          <w:rFonts w:ascii="Calibri" w:hAnsi="Calibri" w:cs="Times New Roman"/>
          <w:sz w:val="20"/>
          <w:szCs w:val="20"/>
          <w:lang w:val="es-ES_tradnl" w:eastAsia="es-ES"/>
        </w:rPr>
        <w:t> En la práctica, lo que dice este principio es que es imposible crear una máquina térmica que tenga un rendimiento del 100%; es decir, que al aplicarle un cierto trabajo, dé una misma cantidad de trabajo útil, ya que siempre habrá una parte que se perderá en forma de calor. Sería aplicable a cualquier ciclo y en su rendimiento.</w:t>
      </w:r>
    </w:p>
    <w:p w14:paraId="0F09C47E" w14:textId="7A2AC6AC" w:rsidR="00FC030A" w:rsidRPr="002E4E7F" w:rsidRDefault="00FC030A" w:rsidP="00FC030A">
      <w:pPr>
        <w:spacing w:after="0"/>
        <w:ind w:left="708"/>
        <w:rPr>
          <w:rFonts w:cstheme="minorHAnsi"/>
          <w:sz w:val="18"/>
          <w:szCs w:val="18"/>
        </w:rPr>
      </w:pPr>
    </w:p>
    <w:sectPr w:rsidR="00FC030A" w:rsidRPr="002E4E7F" w:rsidSect="000A5EC0">
      <w:headerReference w:type="default" r:id="rId12"/>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840A" w14:textId="77777777" w:rsidR="008B0E49" w:rsidRDefault="008B0E49" w:rsidP="00C46D9A">
      <w:r>
        <w:separator/>
      </w:r>
    </w:p>
  </w:endnote>
  <w:endnote w:type="continuationSeparator" w:id="0">
    <w:p w14:paraId="7E7DB8C8" w14:textId="77777777" w:rsidR="008B0E49" w:rsidRDefault="008B0E49" w:rsidP="00C4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9540"/>
      <w:docPartObj>
        <w:docPartGallery w:val="Page Numbers (Bottom of Page)"/>
        <w:docPartUnique/>
      </w:docPartObj>
    </w:sdtPr>
    <w:sdtEndPr>
      <w:rPr>
        <w:sz w:val="16"/>
        <w:szCs w:val="16"/>
      </w:rPr>
    </w:sdtEndPr>
    <w:sdtContent>
      <w:p w14:paraId="36D362B6" w14:textId="77777777" w:rsidR="008B0E49" w:rsidRDefault="008B0E49" w:rsidP="00DC57A6">
        <w:pPr>
          <w:pStyle w:val="Piedepgina"/>
          <w:jc w:val="right"/>
        </w:pPr>
        <w:r w:rsidRPr="00DC57A6">
          <w:rPr>
            <w:sz w:val="16"/>
            <w:szCs w:val="16"/>
          </w:rPr>
          <w:fldChar w:fldCharType="begin"/>
        </w:r>
        <w:r w:rsidRPr="00DC57A6">
          <w:rPr>
            <w:sz w:val="16"/>
            <w:szCs w:val="16"/>
          </w:rPr>
          <w:instrText>PAGE   \* MERGEFORMAT</w:instrText>
        </w:r>
        <w:r w:rsidRPr="00DC57A6">
          <w:rPr>
            <w:sz w:val="16"/>
            <w:szCs w:val="16"/>
          </w:rPr>
          <w:fldChar w:fldCharType="separate"/>
        </w:r>
        <w:r w:rsidR="003676F3" w:rsidRPr="003676F3">
          <w:rPr>
            <w:noProof/>
            <w:sz w:val="16"/>
            <w:szCs w:val="16"/>
            <w:lang w:val="es-ES"/>
          </w:rPr>
          <w:t>2</w:t>
        </w:r>
        <w:r w:rsidRPr="00DC57A6">
          <w:rPr>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D395" w14:textId="77777777" w:rsidR="008B0E49" w:rsidRDefault="008B0E49" w:rsidP="00C46D9A">
      <w:r>
        <w:separator/>
      </w:r>
    </w:p>
  </w:footnote>
  <w:footnote w:type="continuationSeparator" w:id="0">
    <w:p w14:paraId="03B44007" w14:textId="77777777" w:rsidR="008B0E49" w:rsidRDefault="008B0E49" w:rsidP="00C46D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5D3FA" w14:textId="77777777" w:rsidR="008B0E49" w:rsidRDefault="008B0E49" w:rsidP="00DC57A6">
    <w:pPr>
      <w:pStyle w:val="Encabezado"/>
      <w:tabs>
        <w:tab w:val="clear" w:pos="8504"/>
        <w:tab w:val="right" w:pos="9072"/>
      </w:tabs>
    </w:pPr>
    <w:r>
      <w:rPr>
        <w:noProof/>
        <w:lang w:val="es-ES" w:eastAsia="es-ES"/>
      </w:rPr>
      <w:drawing>
        <wp:anchor distT="0" distB="0" distL="114300" distR="114300" simplePos="0" relativeHeight="251658240" behindDoc="1" locked="0" layoutInCell="1" allowOverlap="1" wp14:anchorId="7393776E" wp14:editId="7B59AC38">
          <wp:simplePos x="0" y="0"/>
          <wp:positionH relativeFrom="column">
            <wp:posOffset>4732020</wp:posOffset>
          </wp:positionH>
          <wp:positionV relativeFrom="paragraph">
            <wp:posOffset>-191135</wp:posOffset>
          </wp:positionV>
          <wp:extent cx="983615" cy="559435"/>
          <wp:effectExtent l="19050" t="0" r="6985" b="0"/>
          <wp:wrapTight wrapText="bothSides">
            <wp:wrapPolygon edited="0">
              <wp:start x="-418" y="0"/>
              <wp:lineTo x="-418" y="20595"/>
              <wp:lineTo x="21753" y="20595"/>
              <wp:lineTo x="21753" y="0"/>
              <wp:lineTo x="-418"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559435"/>
                  </a:xfrm>
                  <a:prstGeom prst="rect">
                    <a:avLst/>
                  </a:prstGeom>
                  <a:noFill/>
                  <a:ln>
                    <a:noFill/>
                  </a:ln>
                  <a:extLst/>
                </pic:spPr>
              </pic:pic>
            </a:graphicData>
          </a:graphic>
        </wp:anchor>
      </w:drawing>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9E6"/>
    <w:multiLevelType w:val="multilevel"/>
    <w:tmpl w:val="78D02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448C0"/>
    <w:multiLevelType w:val="hybridMultilevel"/>
    <w:tmpl w:val="4118BC46"/>
    <w:lvl w:ilvl="0" w:tplc="84623F50">
      <w:start w:val="1"/>
      <w:numFmt w:val="decimal"/>
      <w:pStyle w:val="Ttulo1"/>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DC7221E"/>
    <w:multiLevelType w:val="hybridMultilevel"/>
    <w:tmpl w:val="DFAC7B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24D94536"/>
    <w:multiLevelType w:val="hybridMultilevel"/>
    <w:tmpl w:val="0AEE9E2A"/>
    <w:lvl w:ilvl="0" w:tplc="2F72996A">
      <w:start w:val="6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C1A143F"/>
    <w:multiLevelType w:val="hybridMultilevel"/>
    <w:tmpl w:val="C8E803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56553423"/>
    <w:multiLevelType w:val="hybridMultilevel"/>
    <w:tmpl w:val="240093AA"/>
    <w:lvl w:ilvl="0" w:tplc="8F9E43C6">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5"/>
  </w:num>
  <w:num w:numId="5">
    <w:abstractNumId w:val="5"/>
  </w:num>
  <w:num w:numId="6">
    <w:abstractNumId w:val="5"/>
  </w:num>
  <w:num w:numId="7">
    <w:abstractNumId w:val="4"/>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9A"/>
    <w:rsid w:val="00015F06"/>
    <w:rsid w:val="000368B8"/>
    <w:rsid w:val="000773A3"/>
    <w:rsid w:val="000A5EC0"/>
    <w:rsid w:val="000D5245"/>
    <w:rsid w:val="001104D8"/>
    <w:rsid w:val="001337BF"/>
    <w:rsid w:val="00180843"/>
    <w:rsid w:val="001A0526"/>
    <w:rsid w:val="001A43AB"/>
    <w:rsid w:val="001B239F"/>
    <w:rsid w:val="001E443C"/>
    <w:rsid w:val="00241EF9"/>
    <w:rsid w:val="002555AE"/>
    <w:rsid w:val="0028174A"/>
    <w:rsid w:val="002907DE"/>
    <w:rsid w:val="002C55C7"/>
    <w:rsid w:val="002D27F7"/>
    <w:rsid w:val="002E49B0"/>
    <w:rsid w:val="002E4E7F"/>
    <w:rsid w:val="00357076"/>
    <w:rsid w:val="003676F3"/>
    <w:rsid w:val="00373EA9"/>
    <w:rsid w:val="00392582"/>
    <w:rsid w:val="003A2E00"/>
    <w:rsid w:val="003B42BF"/>
    <w:rsid w:val="00405892"/>
    <w:rsid w:val="00410A04"/>
    <w:rsid w:val="00444304"/>
    <w:rsid w:val="00486842"/>
    <w:rsid w:val="004C083F"/>
    <w:rsid w:val="0051773F"/>
    <w:rsid w:val="00555B17"/>
    <w:rsid w:val="005561F3"/>
    <w:rsid w:val="005D0228"/>
    <w:rsid w:val="005E71DB"/>
    <w:rsid w:val="00713671"/>
    <w:rsid w:val="0072416D"/>
    <w:rsid w:val="00725CD6"/>
    <w:rsid w:val="00737DBC"/>
    <w:rsid w:val="00770AC9"/>
    <w:rsid w:val="0077601C"/>
    <w:rsid w:val="007E7B5C"/>
    <w:rsid w:val="00803D54"/>
    <w:rsid w:val="00810D46"/>
    <w:rsid w:val="00837479"/>
    <w:rsid w:val="008428A8"/>
    <w:rsid w:val="00844BC7"/>
    <w:rsid w:val="008564AF"/>
    <w:rsid w:val="008B0160"/>
    <w:rsid w:val="008B0E49"/>
    <w:rsid w:val="008F612F"/>
    <w:rsid w:val="00923D4C"/>
    <w:rsid w:val="00924CF0"/>
    <w:rsid w:val="009437D5"/>
    <w:rsid w:val="00970998"/>
    <w:rsid w:val="009C2606"/>
    <w:rsid w:val="009F7029"/>
    <w:rsid w:val="00A20AB7"/>
    <w:rsid w:val="00A762BC"/>
    <w:rsid w:val="00A90506"/>
    <w:rsid w:val="00A952EB"/>
    <w:rsid w:val="00AB27C8"/>
    <w:rsid w:val="00AD67A7"/>
    <w:rsid w:val="00AE2880"/>
    <w:rsid w:val="00AE744F"/>
    <w:rsid w:val="00AF7628"/>
    <w:rsid w:val="00B11060"/>
    <w:rsid w:val="00B7209F"/>
    <w:rsid w:val="00B73A37"/>
    <w:rsid w:val="00B81E57"/>
    <w:rsid w:val="00B82BEE"/>
    <w:rsid w:val="00BE2405"/>
    <w:rsid w:val="00BF36E2"/>
    <w:rsid w:val="00C04B06"/>
    <w:rsid w:val="00C20C85"/>
    <w:rsid w:val="00C46D9A"/>
    <w:rsid w:val="00C477EB"/>
    <w:rsid w:val="00C65F70"/>
    <w:rsid w:val="00C73492"/>
    <w:rsid w:val="00C81A2E"/>
    <w:rsid w:val="00C9241E"/>
    <w:rsid w:val="00CE6799"/>
    <w:rsid w:val="00D23DAE"/>
    <w:rsid w:val="00D4116D"/>
    <w:rsid w:val="00D96EF0"/>
    <w:rsid w:val="00DC57A6"/>
    <w:rsid w:val="00DD2D43"/>
    <w:rsid w:val="00E16821"/>
    <w:rsid w:val="00E61EC1"/>
    <w:rsid w:val="00EC330C"/>
    <w:rsid w:val="00ED3C78"/>
    <w:rsid w:val="00ED4CFC"/>
    <w:rsid w:val="00EE1F97"/>
    <w:rsid w:val="00F077E7"/>
    <w:rsid w:val="00F30140"/>
    <w:rsid w:val="00F67C48"/>
    <w:rsid w:val="00F91305"/>
    <w:rsid w:val="00FC030A"/>
    <w:rsid w:val="00FD2469"/>
    <w:rsid w:val="00FD64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DE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9A"/>
    <w:pPr>
      <w:jc w:val="both"/>
    </w:pPr>
  </w:style>
  <w:style w:type="paragraph" w:styleId="Ttulo1">
    <w:name w:val="heading 1"/>
    <w:basedOn w:val="Prrafodelista"/>
    <w:next w:val="Normal"/>
    <w:link w:val="Ttulo1Car"/>
    <w:uiPriority w:val="9"/>
    <w:qFormat/>
    <w:rsid w:val="0072416D"/>
    <w:pPr>
      <w:numPr>
        <w:numId w:val="8"/>
      </w:numPr>
      <w:ind w:left="284" w:hanging="284"/>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D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D9A"/>
    <w:rPr>
      <w:rFonts w:ascii="Tahoma" w:hAnsi="Tahoma" w:cs="Tahoma"/>
      <w:sz w:val="16"/>
      <w:szCs w:val="16"/>
    </w:rPr>
  </w:style>
  <w:style w:type="paragraph" w:styleId="Encabezado">
    <w:name w:val="header"/>
    <w:basedOn w:val="Normal"/>
    <w:link w:val="EncabezadoCar"/>
    <w:uiPriority w:val="99"/>
    <w:unhideWhenUsed/>
    <w:rsid w:val="00C46D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D9A"/>
  </w:style>
  <w:style w:type="paragraph" w:styleId="Piedepgina">
    <w:name w:val="footer"/>
    <w:basedOn w:val="Normal"/>
    <w:link w:val="PiedepginaCar"/>
    <w:uiPriority w:val="99"/>
    <w:unhideWhenUsed/>
    <w:rsid w:val="00C46D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D9A"/>
  </w:style>
  <w:style w:type="character" w:customStyle="1" w:styleId="Ttulo1Car">
    <w:name w:val="Título 1 Car"/>
    <w:basedOn w:val="Fuentedeprrafopredeter"/>
    <w:link w:val="Ttulo1"/>
    <w:uiPriority w:val="9"/>
    <w:rsid w:val="0072416D"/>
    <w:rPr>
      <w:b/>
    </w:rPr>
  </w:style>
  <w:style w:type="paragraph" w:styleId="Prrafodelista">
    <w:name w:val="List Paragraph"/>
    <w:basedOn w:val="Normal"/>
    <w:uiPriority w:val="34"/>
    <w:qFormat/>
    <w:rsid w:val="0028174A"/>
    <w:pPr>
      <w:ind w:left="720"/>
      <w:contextualSpacing/>
    </w:pPr>
  </w:style>
  <w:style w:type="paragraph" w:styleId="Textonotapie">
    <w:name w:val="footnote text"/>
    <w:basedOn w:val="Normal"/>
    <w:link w:val="TextonotapieCar"/>
    <w:uiPriority w:val="99"/>
    <w:semiHidden/>
    <w:unhideWhenUsed/>
    <w:rsid w:val="005561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61F3"/>
    <w:rPr>
      <w:sz w:val="20"/>
      <w:szCs w:val="20"/>
    </w:rPr>
  </w:style>
  <w:style w:type="character" w:styleId="Refdenotaalpie">
    <w:name w:val="footnote reference"/>
    <w:basedOn w:val="Fuentedeprrafopredeter"/>
    <w:uiPriority w:val="99"/>
    <w:semiHidden/>
    <w:unhideWhenUsed/>
    <w:rsid w:val="005561F3"/>
    <w:rPr>
      <w:vertAlign w:val="superscript"/>
    </w:rPr>
  </w:style>
  <w:style w:type="character" w:styleId="Textoennegrita">
    <w:name w:val="Strong"/>
    <w:basedOn w:val="Fuentedeprrafopredeter"/>
    <w:uiPriority w:val="22"/>
    <w:qFormat/>
    <w:rsid w:val="00FC030A"/>
    <w:rPr>
      <w:b/>
      <w:bCs/>
    </w:rPr>
  </w:style>
  <w:style w:type="character" w:customStyle="1" w:styleId="notranslate">
    <w:name w:val="notranslate"/>
    <w:basedOn w:val="Fuentedeprrafopredeter"/>
    <w:rsid w:val="008B0E49"/>
  </w:style>
  <w:style w:type="character" w:customStyle="1" w:styleId="normalchar">
    <w:name w:val="normal__char"/>
    <w:basedOn w:val="Fuentedeprrafopredeter"/>
    <w:rsid w:val="008B0E49"/>
  </w:style>
  <w:style w:type="character" w:customStyle="1" w:styleId="list0020paragraphchar">
    <w:name w:val="list_0020paragraph__char"/>
    <w:basedOn w:val="Fuentedeprrafopredeter"/>
    <w:rsid w:val="008B0E49"/>
  </w:style>
  <w:style w:type="character" w:customStyle="1" w:styleId="footnote0020referencechar">
    <w:name w:val="footnote_0020reference__char"/>
    <w:basedOn w:val="Fuentedeprrafopredeter"/>
    <w:rsid w:val="008B0E49"/>
  </w:style>
  <w:style w:type="character" w:customStyle="1" w:styleId="strongchar">
    <w:name w:val="strong__char"/>
    <w:basedOn w:val="Fuentedeprrafopredeter"/>
    <w:rsid w:val="008B0E49"/>
  </w:style>
  <w:style w:type="paragraph" w:customStyle="1" w:styleId="footnote0020text">
    <w:name w:val="footnote_0020text"/>
    <w:basedOn w:val="Normal"/>
    <w:rsid w:val="008B0E49"/>
    <w:pPr>
      <w:spacing w:before="100" w:beforeAutospacing="1" w:after="100" w:afterAutospacing="1" w:line="240" w:lineRule="auto"/>
      <w:jc w:val="left"/>
    </w:pPr>
    <w:rPr>
      <w:rFonts w:ascii="Times" w:hAnsi="Times"/>
      <w:sz w:val="20"/>
      <w:szCs w:val="2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9A"/>
    <w:pPr>
      <w:jc w:val="both"/>
    </w:pPr>
  </w:style>
  <w:style w:type="paragraph" w:styleId="Ttulo1">
    <w:name w:val="heading 1"/>
    <w:basedOn w:val="Prrafodelista"/>
    <w:next w:val="Normal"/>
    <w:link w:val="Ttulo1Car"/>
    <w:uiPriority w:val="9"/>
    <w:qFormat/>
    <w:rsid w:val="0072416D"/>
    <w:pPr>
      <w:numPr>
        <w:numId w:val="8"/>
      </w:numPr>
      <w:ind w:left="284" w:hanging="284"/>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6D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D9A"/>
    <w:rPr>
      <w:rFonts w:ascii="Tahoma" w:hAnsi="Tahoma" w:cs="Tahoma"/>
      <w:sz w:val="16"/>
      <w:szCs w:val="16"/>
    </w:rPr>
  </w:style>
  <w:style w:type="paragraph" w:styleId="Encabezado">
    <w:name w:val="header"/>
    <w:basedOn w:val="Normal"/>
    <w:link w:val="EncabezadoCar"/>
    <w:uiPriority w:val="99"/>
    <w:unhideWhenUsed/>
    <w:rsid w:val="00C46D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D9A"/>
  </w:style>
  <w:style w:type="paragraph" w:styleId="Piedepgina">
    <w:name w:val="footer"/>
    <w:basedOn w:val="Normal"/>
    <w:link w:val="PiedepginaCar"/>
    <w:uiPriority w:val="99"/>
    <w:unhideWhenUsed/>
    <w:rsid w:val="00C46D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D9A"/>
  </w:style>
  <w:style w:type="character" w:customStyle="1" w:styleId="Ttulo1Car">
    <w:name w:val="Título 1 Car"/>
    <w:basedOn w:val="Fuentedeprrafopredeter"/>
    <w:link w:val="Ttulo1"/>
    <w:uiPriority w:val="9"/>
    <w:rsid w:val="0072416D"/>
    <w:rPr>
      <w:b/>
    </w:rPr>
  </w:style>
  <w:style w:type="paragraph" w:styleId="Prrafodelista">
    <w:name w:val="List Paragraph"/>
    <w:basedOn w:val="Normal"/>
    <w:uiPriority w:val="34"/>
    <w:qFormat/>
    <w:rsid w:val="0028174A"/>
    <w:pPr>
      <w:ind w:left="720"/>
      <w:contextualSpacing/>
    </w:pPr>
  </w:style>
  <w:style w:type="paragraph" w:styleId="Textonotapie">
    <w:name w:val="footnote text"/>
    <w:basedOn w:val="Normal"/>
    <w:link w:val="TextonotapieCar"/>
    <w:uiPriority w:val="99"/>
    <w:semiHidden/>
    <w:unhideWhenUsed/>
    <w:rsid w:val="005561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61F3"/>
    <w:rPr>
      <w:sz w:val="20"/>
      <w:szCs w:val="20"/>
    </w:rPr>
  </w:style>
  <w:style w:type="character" w:styleId="Refdenotaalpie">
    <w:name w:val="footnote reference"/>
    <w:basedOn w:val="Fuentedeprrafopredeter"/>
    <w:uiPriority w:val="99"/>
    <w:semiHidden/>
    <w:unhideWhenUsed/>
    <w:rsid w:val="005561F3"/>
    <w:rPr>
      <w:vertAlign w:val="superscript"/>
    </w:rPr>
  </w:style>
  <w:style w:type="character" w:styleId="Textoennegrita">
    <w:name w:val="Strong"/>
    <w:basedOn w:val="Fuentedeprrafopredeter"/>
    <w:uiPriority w:val="22"/>
    <w:qFormat/>
    <w:rsid w:val="00FC030A"/>
    <w:rPr>
      <w:b/>
      <w:bCs/>
    </w:rPr>
  </w:style>
  <w:style w:type="character" w:customStyle="1" w:styleId="notranslate">
    <w:name w:val="notranslate"/>
    <w:basedOn w:val="Fuentedeprrafopredeter"/>
    <w:rsid w:val="008B0E49"/>
  </w:style>
  <w:style w:type="character" w:customStyle="1" w:styleId="normalchar">
    <w:name w:val="normal__char"/>
    <w:basedOn w:val="Fuentedeprrafopredeter"/>
    <w:rsid w:val="008B0E49"/>
  </w:style>
  <w:style w:type="character" w:customStyle="1" w:styleId="list0020paragraphchar">
    <w:name w:val="list_0020paragraph__char"/>
    <w:basedOn w:val="Fuentedeprrafopredeter"/>
    <w:rsid w:val="008B0E49"/>
  </w:style>
  <w:style w:type="character" w:customStyle="1" w:styleId="footnote0020referencechar">
    <w:name w:val="footnote_0020reference__char"/>
    <w:basedOn w:val="Fuentedeprrafopredeter"/>
    <w:rsid w:val="008B0E49"/>
  </w:style>
  <w:style w:type="character" w:customStyle="1" w:styleId="strongchar">
    <w:name w:val="strong__char"/>
    <w:basedOn w:val="Fuentedeprrafopredeter"/>
    <w:rsid w:val="008B0E49"/>
  </w:style>
  <w:style w:type="paragraph" w:customStyle="1" w:styleId="footnote0020text">
    <w:name w:val="footnote_0020text"/>
    <w:basedOn w:val="Normal"/>
    <w:rsid w:val="008B0E49"/>
    <w:pPr>
      <w:spacing w:before="100" w:beforeAutospacing="1" w:after="100" w:afterAutospacing="1" w:line="240" w:lineRule="auto"/>
      <w:jc w:val="left"/>
    </w:pPr>
    <w:rPr>
      <w:rFonts w:ascii="Times"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18980">
      <w:bodyDiv w:val="1"/>
      <w:marLeft w:val="0"/>
      <w:marRight w:val="0"/>
      <w:marTop w:val="0"/>
      <w:marBottom w:val="0"/>
      <w:divBdr>
        <w:top w:val="none" w:sz="0" w:space="0" w:color="auto"/>
        <w:left w:val="none" w:sz="0" w:space="0" w:color="auto"/>
        <w:bottom w:val="none" w:sz="0" w:space="0" w:color="auto"/>
        <w:right w:val="none" w:sz="0" w:space="0" w:color="auto"/>
      </w:divBdr>
    </w:div>
    <w:div w:id="499660630">
      <w:bodyDiv w:val="1"/>
      <w:marLeft w:val="0"/>
      <w:marRight w:val="0"/>
      <w:marTop w:val="0"/>
      <w:marBottom w:val="0"/>
      <w:divBdr>
        <w:top w:val="none" w:sz="0" w:space="0" w:color="auto"/>
        <w:left w:val="none" w:sz="0" w:space="0" w:color="auto"/>
        <w:bottom w:val="none" w:sz="0" w:space="0" w:color="auto"/>
        <w:right w:val="none" w:sz="0" w:space="0" w:color="auto"/>
      </w:divBdr>
    </w:div>
    <w:div w:id="17090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ranslate.googleusercontent.com/translate_f"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translate.googleusercontent.com/translate_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CF25-5242-2347-BE3E-2DA6F7D5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1226</Words>
  <Characters>6748</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Armengol Grau</dc:creator>
  <cp:lastModifiedBy>Tomas</cp:lastModifiedBy>
  <cp:revision>3</cp:revision>
  <cp:lastPrinted>2017-02-10T09:28:00Z</cp:lastPrinted>
  <dcterms:created xsi:type="dcterms:W3CDTF">2017-08-06T14:37:00Z</dcterms:created>
  <dcterms:modified xsi:type="dcterms:W3CDTF">2017-08-06T14:57:00Z</dcterms:modified>
</cp:coreProperties>
</file>